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7A4B" w:rsidRPr="00D40D8C" w:rsidRDefault="00EF7A4B" w:rsidP="00EF7A4B">
      <w:pPr>
        <w:pStyle w:val="NormalWeb"/>
        <w:jc w:val="center"/>
        <w:rPr>
          <w:rFonts w:asciiTheme="minorHAnsi" w:hAnsiTheme="minorHAnsi" w:cstheme="minorHAnsi"/>
          <w:b/>
          <w:color w:val="000000"/>
          <w:szCs w:val="27"/>
          <w:u w:val="single"/>
        </w:rPr>
      </w:pPr>
      <w:proofErr w:type="spellStart"/>
      <w:r w:rsidRPr="00D40D8C">
        <w:rPr>
          <w:rFonts w:asciiTheme="minorHAnsi" w:hAnsiTheme="minorHAnsi" w:cstheme="minorHAnsi"/>
          <w:b/>
          <w:color w:val="7030A0"/>
          <w:szCs w:val="27"/>
          <w:u w:val="single"/>
        </w:rPr>
        <w:t>Soundwell</w:t>
      </w:r>
      <w:proofErr w:type="spellEnd"/>
      <w:r w:rsidRPr="00D40D8C">
        <w:rPr>
          <w:rFonts w:asciiTheme="minorHAnsi" w:hAnsiTheme="minorHAnsi" w:cstheme="minorHAnsi"/>
          <w:b/>
          <w:color w:val="7030A0"/>
          <w:szCs w:val="27"/>
          <w:u w:val="single"/>
        </w:rPr>
        <w:t xml:space="preserve"> </w:t>
      </w:r>
      <w:r w:rsidRPr="00D40D8C">
        <w:rPr>
          <w:rFonts w:asciiTheme="minorHAnsi" w:hAnsiTheme="minorHAnsi" w:cstheme="minorHAnsi"/>
          <w:b/>
          <w:color w:val="000000"/>
          <w:szCs w:val="27"/>
          <w:u w:val="single"/>
        </w:rPr>
        <w:t>Pupil Premium</w:t>
      </w:r>
      <w:r w:rsidR="00C63A45">
        <w:rPr>
          <w:rFonts w:asciiTheme="minorHAnsi" w:hAnsiTheme="minorHAnsi" w:cstheme="minorHAnsi"/>
          <w:b/>
          <w:color w:val="000000"/>
          <w:szCs w:val="27"/>
          <w:u w:val="single"/>
        </w:rPr>
        <w:t xml:space="preserve"> Catch up Funding - </w:t>
      </w:r>
      <w:r w:rsidRPr="00D40D8C">
        <w:rPr>
          <w:rFonts w:asciiTheme="minorHAnsi" w:hAnsiTheme="minorHAnsi" w:cstheme="minorHAnsi"/>
          <w:b/>
          <w:color w:val="000000"/>
          <w:szCs w:val="27"/>
          <w:u w:val="single"/>
        </w:rPr>
        <w:t>20</w:t>
      </w:r>
      <w:r>
        <w:rPr>
          <w:rFonts w:asciiTheme="minorHAnsi" w:hAnsiTheme="minorHAnsi" w:cstheme="minorHAnsi"/>
          <w:b/>
          <w:color w:val="000000"/>
          <w:szCs w:val="27"/>
          <w:u w:val="single"/>
        </w:rPr>
        <w:t>20</w:t>
      </w:r>
      <w:r w:rsidRPr="00D40D8C">
        <w:rPr>
          <w:rFonts w:asciiTheme="minorHAnsi" w:hAnsiTheme="minorHAnsi" w:cstheme="minorHAnsi"/>
          <w:b/>
          <w:color w:val="000000"/>
          <w:szCs w:val="27"/>
          <w:u w:val="single"/>
        </w:rPr>
        <w:t>-2</w:t>
      </w:r>
      <w:r>
        <w:rPr>
          <w:rFonts w:asciiTheme="minorHAnsi" w:hAnsiTheme="minorHAnsi" w:cstheme="minorHAnsi"/>
          <w:b/>
          <w:color w:val="000000"/>
          <w:szCs w:val="27"/>
          <w:u w:val="single"/>
        </w:rPr>
        <w:t>1</w:t>
      </w:r>
    </w:p>
    <w:p w:rsidR="00F03C48" w:rsidRPr="00EF7A4B" w:rsidRDefault="00F03C48" w:rsidP="00F03C48">
      <w:pPr>
        <w:pStyle w:val="NormalWeb"/>
        <w:rPr>
          <w:rFonts w:asciiTheme="minorHAnsi" w:hAnsiTheme="minorHAnsi" w:cstheme="minorHAnsi"/>
          <w:b/>
          <w:color w:val="000000"/>
          <w:szCs w:val="27"/>
        </w:rPr>
      </w:pPr>
      <w:r w:rsidRPr="00EF7A4B">
        <w:rPr>
          <w:rFonts w:asciiTheme="minorHAnsi" w:hAnsiTheme="minorHAnsi" w:cstheme="minorHAnsi"/>
          <w:b/>
          <w:color w:val="000000"/>
          <w:szCs w:val="27"/>
        </w:rPr>
        <w:t xml:space="preserve">Pupil Premium Catch Up funding </w:t>
      </w:r>
    </w:p>
    <w:p w:rsidR="00C63A45" w:rsidRPr="00C63A45" w:rsidRDefault="00C63A45" w:rsidP="00C63A45">
      <w:pPr>
        <w:shd w:val="clear" w:color="auto" w:fill="FFFFFF"/>
        <w:spacing w:after="300" w:line="240" w:lineRule="auto"/>
        <w:rPr>
          <w:rFonts w:eastAsia="Times New Roman" w:cs="Arial"/>
          <w:color w:val="0B0C0C"/>
          <w:sz w:val="24"/>
          <w:szCs w:val="29"/>
          <w:lang w:eastAsia="en-GB"/>
        </w:rPr>
      </w:pPr>
      <w:r w:rsidRPr="00C63A45">
        <w:rPr>
          <w:rFonts w:eastAsia="Times New Roman" w:cs="Arial"/>
          <w:color w:val="0B0C0C"/>
          <w:sz w:val="24"/>
          <w:szCs w:val="29"/>
          <w:lang w:eastAsia="en-GB"/>
        </w:rPr>
        <w:t xml:space="preserve">Children and young people across the country have experienced unprecedented disruption to their education as a result of coronavirus (COVID-19). Those from the most vulnerable and disadvantaged backgrounds will be among </w:t>
      </w:r>
      <w:proofErr w:type="gramStart"/>
      <w:r w:rsidRPr="00C63A45">
        <w:rPr>
          <w:rFonts w:eastAsia="Times New Roman" w:cs="Arial"/>
          <w:color w:val="0B0C0C"/>
          <w:sz w:val="24"/>
          <w:szCs w:val="29"/>
          <w:lang w:eastAsia="en-GB"/>
        </w:rPr>
        <w:t>those hardest hit</w:t>
      </w:r>
      <w:proofErr w:type="gramEnd"/>
      <w:r w:rsidRPr="00C63A45">
        <w:rPr>
          <w:rFonts w:eastAsia="Times New Roman" w:cs="Arial"/>
          <w:color w:val="0B0C0C"/>
          <w:sz w:val="24"/>
          <w:szCs w:val="29"/>
          <w:lang w:eastAsia="en-GB"/>
        </w:rPr>
        <w:t>. The aggregate impact of lost time in education will be substantial, and the scale of our response must match the scale of the challenge.</w:t>
      </w:r>
    </w:p>
    <w:p w:rsidR="00C63A45" w:rsidRPr="00C63A45" w:rsidRDefault="00C63A45" w:rsidP="00C63A45">
      <w:pPr>
        <w:shd w:val="clear" w:color="auto" w:fill="FFFFFF"/>
        <w:spacing w:before="300" w:after="300" w:line="240" w:lineRule="auto"/>
        <w:rPr>
          <w:rFonts w:eastAsia="Times New Roman" w:cs="Arial"/>
          <w:color w:val="0B0C0C"/>
          <w:sz w:val="24"/>
          <w:szCs w:val="29"/>
          <w:lang w:eastAsia="en-GB"/>
        </w:rPr>
      </w:pPr>
      <w:r w:rsidRPr="00C63A45">
        <w:rPr>
          <w:rFonts w:eastAsia="Times New Roman" w:cs="Arial"/>
          <w:color w:val="0B0C0C"/>
          <w:sz w:val="24"/>
          <w:szCs w:val="29"/>
          <w:lang w:eastAsia="en-GB"/>
        </w:rPr>
        <w:t>We know that we have the professional knowledge and expertise in the education system to ensure that children and young people recover and get back on track. Returning to normal educational routines as quickly as possible will be critical to our national recovery, and the government intends for schools and colleges to fully open in September.</w:t>
      </w:r>
    </w:p>
    <w:p w:rsidR="00C63A45" w:rsidRPr="00C63A45" w:rsidRDefault="00C63A45" w:rsidP="00C63A45">
      <w:pPr>
        <w:shd w:val="clear" w:color="auto" w:fill="FFFFFF"/>
        <w:spacing w:before="300" w:after="300" w:line="240" w:lineRule="auto"/>
        <w:rPr>
          <w:rFonts w:eastAsia="Times New Roman" w:cs="Arial"/>
          <w:color w:val="0B0C0C"/>
          <w:sz w:val="24"/>
          <w:szCs w:val="29"/>
          <w:lang w:eastAsia="en-GB"/>
        </w:rPr>
      </w:pPr>
      <w:r w:rsidRPr="00C63A45">
        <w:rPr>
          <w:rFonts w:eastAsia="Times New Roman" w:cs="Arial"/>
          <w:color w:val="0B0C0C"/>
          <w:sz w:val="24"/>
          <w:szCs w:val="29"/>
          <w:lang w:eastAsia="en-GB"/>
        </w:rPr>
        <w:t>The government has announced £1 billion of funding to support children and young people to catch up. This includes a one-off universal £650 million catch-up premium for the 2020 to 2021 academic year to ensure that schools have the support they need to help all pupils make up for lost teaching time.</w:t>
      </w:r>
    </w:p>
    <w:p w:rsidR="00C63A45" w:rsidRPr="00C63A45" w:rsidRDefault="00C63A45" w:rsidP="00C63A45">
      <w:pPr>
        <w:shd w:val="clear" w:color="auto" w:fill="FFFFFF"/>
        <w:spacing w:before="300" w:after="300" w:line="240" w:lineRule="auto"/>
        <w:rPr>
          <w:rFonts w:eastAsia="Times New Roman" w:cs="Arial"/>
          <w:color w:val="0B0C0C"/>
          <w:sz w:val="24"/>
          <w:szCs w:val="29"/>
          <w:lang w:eastAsia="en-GB"/>
        </w:rPr>
      </w:pPr>
      <w:r w:rsidRPr="00C63A45">
        <w:rPr>
          <w:rFonts w:eastAsia="Times New Roman" w:cs="Arial"/>
          <w:color w:val="0B0C0C"/>
          <w:sz w:val="24"/>
          <w:szCs w:val="29"/>
          <w:lang w:eastAsia="en-GB"/>
        </w:rPr>
        <w:t>Although all children have had their education disrupted by the coronavirus (COVID-19) outbreak, it is likely that disadvantaged and vulnerable groups will have been hardest hit. That is why, alongside the universal catch-up premium, we are launching a £350 million National Tutoring Programme to provide additional, targeted support for those children and young people who need the most help.</w:t>
      </w:r>
      <w:bookmarkStart w:id="0" w:name="_GoBack"/>
      <w:bookmarkEnd w:id="0"/>
    </w:p>
    <w:p w:rsidR="00F03C48" w:rsidRDefault="00F03C48" w:rsidP="00F03C48">
      <w:pPr>
        <w:pStyle w:val="NormalWeb"/>
        <w:rPr>
          <w:rFonts w:asciiTheme="minorHAnsi" w:hAnsiTheme="minorHAnsi" w:cstheme="minorHAnsi"/>
          <w:color w:val="0B0C0C"/>
          <w:szCs w:val="20"/>
          <w:shd w:val="clear" w:color="auto" w:fill="FFFFFF"/>
        </w:rPr>
      </w:pPr>
      <w:r w:rsidRPr="00EF7A4B">
        <w:rPr>
          <w:rFonts w:asciiTheme="minorHAnsi" w:hAnsiTheme="minorHAnsi" w:cstheme="minorHAnsi"/>
          <w:color w:val="0B0C0C"/>
          <w:szCs w:val="20"/>
          <w:shd w:val="clear" w:color="auto" w:fill="FFFFFF"/>
        </w:rPr>
        <w:t>Special, </w:t>
      </w:r>
      <w:r w:rsidRPr="00EF7A4B">
        <w:rPr>
          <w:rFonts w:asciiTheme="minorHAnsi" w:hAnsiTheme="minorHAnsi" w:cstheme="minorHAnsi"/>
          <w:szCs w:val="20"/>
        </w:rPr>
        <w:t>AP</w:t>
      </w:r>
      <w:r w:rsidRPr="00EF7A4B">
        <w:rPr>
          <w:rFonts w:asciiTheme="minorHAnsi" w:hAnsiTheme="minorHAnsi" w:cstheme="minorHAnsi"/>
          <w:color w:val="0B0C0C"/>
          <w:szCs w:val="20"/>
          <w:shd w:val="clear" w:color="auto" w:fill="FFFFFF"/>
        </w:rPr>
        <w:t> and hospital schools will be provided with £240 for each place for the 2020 to 2021 academic year.</w:t>
      </w:r>
    </w:p>
    <w:p w:rsidR="00F03C48" w:rsidRPr="00EF7A4B" w:rsidRDefault="00F03C48" w:rsidP="00F03C48">
      <w:pPr>
        <w:pStyle w:val="NormalWeb"/>
        <w:rPr>
          <w:rFonts w:asciiTheme="minorHAnsi" w:hAnsiTheme="minorHAnsi" w:cstheme="minorHAnsi"/>
          <w:color w:val="000000"/>
          <w:szCs w:val="20"/>
        </w:rPr>
      </w:pPr>
      <w:r>
        <w:rPr>
          <w:rFonts w:asciiTheme="minorHAnsi" w:hAnsiTheme="minorHAnsi" w:cstheme="minorHAnsi"/>
          <w:color w:val="000000"/>
          <w:szCs w:val="20"/>
        </w:rPr>
        <w:t xml:space="preserve">This works out to £6,720 for the academic year. </w:t>
      </w:r>
    </w:p>
    <w:p w:rsidR="00F03C48" w:rsidRPr="00D40D8C" w:rsidRDefault="00F03C48" w:rsidP="00F03C48">
      <w:pPr>
        <w:pStyle w:val="NormalWeb"/>
        <w:rPr>
          <w:rFonts w:asciiTheme="minorHAnsi" w:hAnsiTheme="minorHAnsi" w:cstheme="minorHAnsi"/>
          <w:b/>
          <w:color w:val="000000"/>
          <w:szCs w:val="27"/>
        </w:rPr>
      </w:pPr>
      <w:r w:rsidRPr="00D40D8C">
        <w:rPr>
          <w:rFonts w:asciiTheme="minorHAnsi" w:hAnsiTheme="minorHAnsi" w:cstheme="minorHAnsi"/>
          <w:b/>
          <w:color w:val="000000"/>
          <w:szCs w:val="27"/>
        </w:rPr>
        <w:t>Context of the Academy</w:t>
      </w:r>
    </w:p>
    <w:p w:rsidR="00F03C48" w:rsidRPr="00D40D8C" w:rsidRDefault="00F03C48" w:rsidP="00F03C48">
      <w:pPr>
        <w:pStyle w:val="NormalWeb"/>
        <w:rPr>
          <w:rFonts w:asciiTheme="minorHAnsi" w:hAnsiTheme="minorHAnsi" w:cstheme="minorHAnsi"/>
          <w:color w:val="000000"/>
          <w:szCs w:val="27"/>
        </w:rPr>
      </w:pPr>
      <w:r w:rsidRPr="00D40D8C">
        <w:rPr>
          <w:rFonts w:asciiTheme="minorHAnsi" w:hAnsiTheme="minorHAnsi" w:cstheme="minorHAnsi"/>
          <w:color w:val="000000"/>
          <w:szCs w:val="27"/>
        </w:rPr>
        <w:t>· Our cur</w:t>
      </w:r>
      <w:r>
        <w:rPr>
          <w:rFonts w:asciiTheme="minorHAnsi" w:hAnsiTheme="minorHAnsi" w:cstheme="minorHAnsi"/>
          <w:color w:val="000000"/>
          <w:szCs w:val="27"/>
        </w:rPr>
        <w:t>rent planned place number is 28</w:t>
      </w:r>
      <w:r w:rsidRPr="00D40D8C">
        <w:rPr>
          <w:rFonts w:asciiTheme="minorHAnsi" w:hAnsiTheme="minorHAnsi" w:cstheme="minorHAnsi"/>
          <w:color w:val="000000"/>
          <w:szCs w:val="27"/>
        </w:rPr>
        <w:t>. The Academy has been designed to educ</w:t>
      </w:r>
      <w:r>
        <w:rPr>
          <w:rFonts w:asciiTheme="minorHAnsi" w:hAnsiTheme="minorHAnsi" w:cstheme="minorHAnsi"/>
          <w:color w:val="000000"/>
          <w:szCs w:val="27"/>
        </w:rPr>
        <w:t>ate young people from KS1 to KS3</w:t>
      </w:r>
      <w:r w:rsidRPr="00D40D8C">
        <w:rPr>
          <w:rFonts w:asciiTheme="minorHAnsi" w:hAnsiTheme="minorHAnsi" w:cstheme="minorHAnsi"/>
          <w:color w:val="000000"/>
          <w:szCs w:val="27"/>
        </w:rPr>
        <w:t xml:space="preserve"> with SEMH, SLCN and ASC needs.</w:t>
      </w:r>
    </w:p>
    <w:p w:rsidR="00F03C48" w:rsidRPr="00D40D8C" w:rsidRDefault="00F03C48" w:rsidP="00F03C48">
      <w:pPr>
        <w:pStyle w:val="NormalWeb"/>
        <w:rPr>
          <w:rFonts w:asciiTheme="minorHAnsi" w:hAnsiTheme="minorHAnsi" w:cstheme="minorHAnsi"/>
          <w:color w:val="000000"/>
          <w:szCs w:val="27"/>
        </w:rPr>
      </w:pPr>
      <w:r>
        <w:rPr>
          <w:rFonts w:asciiTheme="minorHAnsi" w:hAnsiTheme="minorHAnsi" w:cstheme="minorHAnsi"/>
          <w:color w:val="000000"/>
          <w:szCs w:val="27"/>
        </w:rPr>
        <w:t xml:space="preserve">· </w:t>
      </w:r>
      <w:proofErr w:type="spellStart"/>
      <w:r>
        <w:rPr>
          <w:rFonts w:asciiTheme="minorHAnsi" w:hAnsiTheme="minorHAnsi" w:cstheme="minorHAnsi"/>
          <w:color w:val="000000"/>
          <w:szCs w:val="27"/>
        </w:rPr>
        <w:t>Soundwell</w:t>
      </w:r>
      <w:proofErr w:type="spellEnd"/>
      <w:r>
        <w:rPr>
          <w:rFonts w:asciiTheme="minorHAnsi" w:hAnsiTheme="minorHAnsi" w:cstheme="minorHAnsi"/>
          <w:color w:val="000000"/>
          <w:szCs w:val="27"/>
        </w:rPr>
        <w:t xml:space="preserve"> is a new Academy and part of Learn@ Mat. Starting with 28 pupils in a temporary build and expanding to 136 pupils in a permanent build. </w:t>
      </w:r>
    </w:p>
    <w:p w:rsidR="00EF7A4B" w:rsidRPr="00D40D8C" w:rsidRDefault="00EF7A4B" w:rsidP="00EF7A4B">
      <w:pPr>
        <w:pStyle w:val="NormalWeb"/>
        <w:rPr>
          <w:rFonts w:asciiTheme="minorHAnsi" w:hAnsiTheme="minorHAnsi" w:cstheme="minorHAnsi"/>
          <w:b/>
          <w:color w:val="000000"/>
          <w:szCs w:val="27"/>
        </w:rPr>
      </w:pPr>
      <w:r w:rsidRPr="00D40D8C">
        <w:rPr>
          <w:rFonts w:asciiTheme="minorHAnsi" w:hAnsiTheme="minorHAnsi" w:cstheme="minorHAnsi"/>
          <w:b/>
          <w:color w:val="000000"/>
          <w:szCs w:val="27"/>
        </w:rPr>
        <w:t>Objectives of Pupil Premium spending</w:t>
      </w:r>
    </w:p>
    <w:p w:rsidR="00EF7A4B" w:rsidRPr="00D40D8C" w:rsidRDefault="00EF7A4B" w:rsidP="00EF7A4B">
      <w:pPr>
        <w:pStyle w:val="NormalWeb"/>
        <w:rPr>
          <w:rFonts w:asciiTheme="minorHAnsi" w:hAnsiTheme="minorHAnsi" w:cstheme="minorHAnsi"/>
          <w:color w:val="000000"/>
          <w:szCs w:val="27"/>
        </w:rPr>
      </w:pPr>
      <w:r w:rsidRPr="00D40D8C">
        <w:rPr>
          <w:rFonts w:asciiTheme="minorHAnsi" w:hAnsiTheme="minorHAnsi" w:cstheme="minorHAnsi"/>
          <w:color w:val="000000"/>
          <w:szCs w:val="27"/>
        </w:rPr>
        <w:t xml:space="preserve">At </w:t>
      </w:r>
      <w:proofErr w:type="spellStart"/>
      <w:r>
        <w:rPr>
          <w:rFonts w:asciiTheme="minorHAnsi" w:hAnsiTheme="minorHAnsi" w:cstheme="minorHAnsi"/>
          <w:color w:val="000000"/>
          <w:szCs w:val="27"/>
        </w:rPr>
        <w:t>Soundwell</w:t>
      </w:r>
      <w:proofErr w:type="spellEnd"/>
      <w:r>
        <w:rPr>
          <w:rFonts w:asciiTheme="minorHAnsi" w:hAnsiTheme="minorHAnsi" w:cstheme="minorHAnsi"/>
          <w:color w:val="000000"/>
          <w:szCs w:val="27"/>
        </w:rPr>
        <w:t>,</w:t>
      </w:r>
      <w:r w:rsidRPr="00D40D8C">
        <w:rPr>
          <w:rFonts w:asciiTheme="minorHAnsi" w:hAnsiTheme="minorHAnsi" w:cstheme="minorHAnsi"/>
          <w:color w:val="000000"/>
          <w:szCs w:val="27"/>
        </w:rPr>
        <w:t xml:space="preserve"> we support all our pupils. We do this by providing high quality teaching supplemented by interventions to support vulnerable learners as and when required. The Strategic Le</w:t>
      </w:r>
      <w:r>
        <w:rPr>
          <w:rFonts w:asciiTheme="minorHAnsi" w:hAnsiTheme="minorHAnsi" w:cstheme="minorHAnsi"/>
          <w:color w:val="000000"/>
          <w:szCs w:val="27"/>
        </w:rPr>
        <w:t>adership Team and Academy Council</w:t>
      </w:r>
      <w:r w:rsidRPr="00D40D8C">
        <w:rPr>
          <w:rFonts w:asciiTheme="minorHAnsi" w:hAnsiTheme="minorHAnsi" w:cstheme="minorHAnsi"/>
          <w:color w:val="000000"/>
          <w:szCs w:val="27"/>
        </w:rPr>
        <w:t xml:space="preserve"> monitor the impact of all spending and interventions, including the Pupil Premium.</w:t>
      </w:r>
    </w:p>
    <w:tbl>
      <w:tblPr>
        <w:tblStyle w:val="TableGrid"/>
        <w:tblW w:w="0" w:type="auto"/>
        <w:tblLook w:val="04A0" w:firstRow="1" w:lastRow="0" w:firstColumn="1" w:lastColumn="0" w:noHBand="0" w:noVBand="1"/>
      </w:tblPr>
      <w:tblGrid>
        <w:gridCol w:w="1803"/>
        <w:gridCol w:w="1803"/>
        <w:gridCol w:w="1803"/>
        <w:gridCol w:w="1803"/>
        <w:gridCol w:w="1804"/>
      </w:tblGrid>
      <w:tr w:rsidR="00EF7A4B" w:rsidTr="00332F9D">
        <w:tc>
          <w:tcPr>
            <w:tcW w:w="1803" w:type="dxa"/>
            <w:shd w:val="clear" w:color="auto" w:fill="D0CECE" w:themeFill="background2" w:themeFillShade="E6"/>
          </w:tcPr>
          <w:p w:rsidR="00EF7A4B" w:rsidRDefault="00EF7A4B" w:rsidP="00332F9D">
            <w:r>
              <w:t>Academic Achievement</w:t>
            </w:r>
          </w:p>
        </w:tc>
        <w:tc>
          <w:tcPr>
            <w:tcW w:w="1803" w:type="dxa"/>
            <w:shd w:val="clear" w:color="auto" w:fill="FBE4D5" w:themeFill="accent2" w:themeFillTint="33"/>
          </w:tcPr>
          <w:p w:rsidR="00EF7A4B" w:rsidRDefault="00EF7A4B" w:rsidP="00332F9D">
            <w:r>
              <w:t xml:space="preserve">Focusing on Social, Emotional </w:t>
            </w:r>
            <w:r>
              <w:lastRenderedPageBreak/>
              <w:t>and Mental Health support</w:t>
            </w:r>
          </w:p>
        </w:tc>
        <w:tc>
          <w:tcPr>
            <w:tcW w:w="1803" w:type="dxa"/>
            <w:shd w:val="clear" w:color="auto" w:fill="FFF2CC" w:themeFill="accent4" w:themeFillTint="33"/>
          </w:tcPr>
          <w:p w:rsidR="00EF7A4B" w:rsidRDefault="00EF7A4B" w:rsidP="00332F9D">
            <w:r>
              <w:lastRenderedPageBreak/>
              <w:t xml:space="preserve">Focus on enrichment </w:t>
            </w:r>
            <w:r>
              <w:lastRenderedPageBreak/>
              <w:t>outside of the curriculum</w:t>
            </w:r>
          </w:p>
        </w:tc>
        <w:tc>
          <w:tcPr>
            <w:tcW w:w="1803" w:type="dxa"/>
            <w:shd w:val="clear" w:color="auto" w:fill="DEEAF6" w:themeFill="accent5" w:themeFillTint="33"/>
          </w:tcPr>
          <w:p w:rsidR="00EF7A4B" w:rsidRDefault="00EF7A4B" w:rsidP="00332F9D">
            <w:r>
              <w:lastRenderedPageBreak/>
              <w:t>Family Support</w:t>
            </w:r>
          </w:p>
        </w:tc>
        <w:tc>
          <w:tcPr>
            <w:tcW w:w="1804" w:type="dxa"/>
            <w:shd w:val="clear" w:color="auto" w:fill="C5E0B3" w:themeFill="accent6" w:themeFillTint="66"/>
          </w:tcPr>
          <w:p w:rsidR="00EF7A4B" w:rsidRDefault="00EF7A4B" w:rsidP="00332F9D">
            <w:r>
              <w:t>School Readiness</w:t>
            </w:r>
          </w:p>
        </w:tc>
      </w:tr>
    </w:tbl>
    <w:p w:rsidR="00EF7A4B" w:rsidRDefault="00EF7A4B" w:rsidP="00EF7A4B"/>
    <w:p w:rsidR="00EF7A4B" w:rsidRDefault="00EF7A4B" w:rsidP="00EF7A4B"/>
    <w:p w:rsidR="00F03C48" w:rsidRDefault="00F03C48" w:rsidP="00EF7A4B">
      <w:pPr>
        <w:rPr>
          <w:b/>
        </w:rPr>
      </w:pPr>
      <w:r>
        <w:rPr>
          <w:b/>
        </w:rPr>
        <w:t>Pupil Premium Catch Up</w:t>
      </w:r>
      <w:r w:rsidR="003C0D64">
        <w:rPr>
          <w:b/>
        </w:rPr>
        <w:t xml:space="preserve"> Funding </w:t>
      </w:r>
      <w:r w:rsidR="00C63A45">
        <w:rPr>
          <w:b/>
        </w:rPr>
        <w:t>20/21</w:t>
      </w:r>
    </w:p>
    <w:tbl>
      <w:tblPr>
        <w:tblStyle w:val="TableGrid"/>
        <w:tblW w:w="0" w:type="auto"/>
        <w:tblLook w:val="04A0" w:firstRow="1" w:lastRow="0" w:firstColumn="1" w:lastColumn="0" w:noHBand="0" w:noVBand="1"/>
      </w:tblPr>
      <w:tblGrid>
        <w:gridCol w:w="3397"/>
        <w:gridCol w:w="1418"/>
        <w:gridCol w:w="4201"/>
      </w:tblGrid>
      <w:tr w:rsidR="00F03C48" w:rsidRPr="001E0232" w:rsidTr="00332F9D">
        <w:tc>
          <w:tcPr>
            <w:tcW w:w="3397" w:type="dxa"/>
          </w:tcPr>
          <w:p w:rsidR="00F03C48" w:rsidRPr="001E0232" w:rsidRDefault="00F03C48" w:rsidP="00332F9D">
            <w:pPr>
              <w:rPr>
                <w:b/>
                <w:sz w:val="24"/>
              </w:rPr>
            </w:pPr>
            <w:r w:rsidRPr="001E0232">
              <w:rPr>
                <w:b/>
                <w:sz w:val="24"/>
              </w:rPr>
              <w:t>Area</w:t>
            </w:r>
          </w:p>
        </w:tc>
        <w:tc>
          <w:tcPr>
            <w:tcW w:w="1418" w:type="dxa"/>
          </w:tcPr>
          <w:p w:rsidR="00F03C48" w:rsidRPr="001E0232" w:rsidRDefault="00F03C48" w:rsidP="00332F9D">
            <w:pPr>
              <w:rPr>
                <w:b/>
                <w:sz w:val="24"/>
              </w:rPr>
            </w:pPr>
            <w:r w:rsidRPr="001E0232">
              <w:rPr>
                <w:b/>
                <w:sz w:val="24"/>
              </w:rPr>
              <w:t>Cost</w:t>
            </w:r>
          </w:p>
        </w:tc>
        <w:tc>
          <w:tcPr>
            <w:tcW w:w="4201" w:type="dxa"/>
          </w:tcPr>
          <w:p w:rsidR="00F03C48" w:rsidRPr="001E0232" w:rsidRDefault="00F03C48" w:rsidP="00332F9D">
            <w:pPr>
              <w:rPr>
                <w:b/>
                <w:sz w:val="24"/>
              </w:rPr>
            </w:pPr>
            <w:r w:rsidRPr="001E0232">
              <w:rPr>
                <w:b/>
                <w:sz w:val="24"/>
              </w:rPr>
              <w:t>Expected Outcome</w:t>
            </w:r>
          </w:p>
        </w:tc>
      </w:tr>
      <w:tr w:rsidR="00F03C48" w:rsidRPr="00CE0443" w:rsidTr="00332F9D">
        <w:tc>
          <w:tcPr>
            <w:tcW w:w="3397" w:type="dxa"/>
          </w:tcPr>
          <w:p w:rsidR="00F03C48" w:rsidRPr="00CE0443" w:rsidRDefault="00F03C48" w:rsidP="00332F9D">
            <w:pPr>
              <w:rPr>
                <w:sz w:val="24"/>
              </w:rPr>
            </w:pPr>
            <w:r>
              <w:rPr>
                <w:sz w:val="24"/>
              </w:rPr>
              <w:t>12 days mentoring</w:t>
            </w:r>
          </w:p>
        </w:tc>
        <w:tc>
          <w:tcPr>
            <w:tcW w:w="1418" w:type="dxa"/>
            <w:shd w:val="clear" w:color="auto" w:fill="DEEAF6" w:themeFill="accent5" w:themeFillTint="33"/>
          </w:tcPr>
          <w:p w:rsidR="00F03C48" w:rsidRDefault="00F03C48" w:rsidP="00332F9D">
            <w:pPr>
              <w:rPr>
                <w:sz w:val="24"/>
              </w:rPr>
            </w:pPr>
            <w:r>
              <w:rPr>
                <w:sz w:val="24"/>
              </w:rPr>
              <w:t>£160 per day</w:t>
            </w:r>
          </w:p>
          <w:p w:rsidR="00F03C48" w:rsidRPr="00CE0443" w:rsidRDefault="00F03C48" w:rsidP="00332F9D">
            <w:pPr>
              <w:rPr>
                <w:sz w:val="24"/>
              </w:rPr>
            </w:pPr>
            <w:r>
              <w:rPr>
                <w:sz w:val="24"/>
              </w:rPr>
              <w:t>£1920</w:t>
            </w:r>
          </w:p>
        </w:tc>
        <w:tc>
          <w:tcPr>
            <w:tcW w:w="4201" w:type="dxa"/>
          </w:tcPr>
          <w:p w:rsidR="00F03C48" w:rsidRPr="00CE0443" w:rsidRDefault="00F03C48" w:rsidP="00332F9D">
            <w:pPr>
              <w:rPr>
                <w:sz w:val="24"/>
              </w:rPr>
            </w:pPr>
            <w:r>
              <w:rPr>
                <w:sz w:val="24"/>
              </w:rPr>
              <w:t xml:space="preserve">Pupils to receive individual support to help transition back to full time schooling. </w:t>
            </w:r>
          </w:p>
        </w:tc>
      </w:tr>
      <w:tr w:rsidR="00F03C48" w:rsidRPr="001E0232" w:rsidTr="00F03C48">
        <w:tc>
          <w:tcPr>
            <w:tcW w:w="3397" w:type="dxa"/>
          </w:tcPr>
          <w:p w:rsidR="00F03C48" w:rsidRDefault="00F03C48" w:rsidP="00332F9D">
            <w:r>
              <w:t xml:space="preserve">Talk Boost interventions for all pupils. </w:t>
            </w:r>
          </w:p>
          <w:p w:rsidR="00F03C48" w:rsidRDefault="00F03C48" w:rsidP="00332F9D">
            <w:r>
              <w:t>All Pupils to be baselined.</w:t>
            </w:r>
          </w:p>
          <w:p w:rsidR="00F03C48" w:rsidRDefault="00F03C48" w:rsidP="00332F9D">
            <w:r>
              <w:t>All pupils to have access to talk boost sessions</w:t>
            </w:r>
          </w:p>
        </w:tc>
        <w:tc>
          <w:tcPr>
            <w:tcW w:w="1418" w:type="dxa"/>
            <w:shd w:val="clear" w:color="auto" w:fill="D0CECE" w:themeFill="background2" w:themeFillShade="E6"/>
          </w:tcPr>
          <w:p w:rsidR="00F03C48" w:rsidRDefault="00F03C48" w:rsidP="00332F9D">
            <w:r>
              <w:t xml:space="preserve">£1030 Resources </w:t>
            </w:r>
          </w:p>
          <w:p w:rsidR="00F03C48" w:rsidRDefault="00F03C48" w:rsidP="00332F9D">
            <w:r>
              <w:t>5 hours HLTA time per week for 5 weeks</w:t>
            </w:r>
          </w:p>
          <w:p w:rsidR="00F03C48" w:rsidRDefault="00F03C48" w:rsidP="00332F9D">
            <w:r>
              <w:t>£625</w:t>
            </w:r>
          </w:p>
          <w:p w:rsidR="00F03C48" w:rsidRDefault="00F03C48" w:rsidP="00332F9D">
            <w:r>
              <w:t>£1655</w:t>
            </w:r>
          </w:p>
        </w:tc>
        <w:tc>
          <w:tcPr>
            <w:tcW w:w="4201" w:type="dxa"/>
          </w:tcPr>
          <w:p w:rsidR="00F03C48" w:rsidRPr="001E0232" w:rsidRDefault="00F03C48" w:rsidP="00332F9D">
            <w:pPr>
              <w:rPr>
                <w:sz w:val="24"/>
              </w:rPr>
            </w:pPr>
            <w:r>
              <w:rPr>
                <w:sz w:val="24"/>
              </w:rPr>
              <w:t xml:space="preserve">All pupils to be baselined on the Talk boost Speech and Language tool. Pupils to have HLTA directed Speech and Language sessions. Either in groups or individually. </w:t>
            </w:r>
          </w:p>
        </w:tc>
      </w:tr>
      <w:tr w:rsidR="00F03C48" w:rsidRPr="00CE0443" w:rsidTr="00332F9D">
        <w:tc>
          <w:tcPr>
            <w:tcW w:w="3397" w:type="dxa"/>
          </w:tcPr>
          <w:p w:rsidR="00F03C48" w:rsidRPr="00CE0443" w:rsidRDefault="00F03C48" w:rsidP="00332F9D">
            <w:pPr>
              <w:rPr>
                <w:rFonts w:cstheme="minorHAnsi"/>
                <w:sz w:val="24"/>
              </w:rPr>
            </w:pPr>
          </w:p>
        </w:tc>
        <w:tc>
          <w:tcPr>
            <w:tcW w:w="1418" w:type="dxa"/>
            <w:shd w:val="clear" w:color="auto" w:fill="C5E0B3" w:themeFill="accent6" w:themeFillTint="66"/>
          </w:tcPr>
          <w:p w:rsidR="00F03C48" w:rsidRPr="00CE0443" w:rsidRDefault="00F03C48" w:rsidP="00332F9D">
            <w:pPr>
              <w:rPr>
                <w:rFonts w:cstheme="minorHAnsi"/>
                <w:sz w:val="24"/>
              </w:rPr>
            </w:pPr>
          </w:p>
        </w:tc>
        <w:tc>
          <w:tcPr>
            <w:tcW w:w="4201" w:type="dxa"/>
          </w:tcPr>
          <w:p w:rsidR="00F03C48" w:rsidRPr="00CE0443" w:rsidRDefault="00F03C48" w:rsidP="00332F9D">
            <w:pPr>
              <w:rPr>
                <w:rFonts w:cstheme="minorHAnsi"/>
                <w:sz w:val="24"/>
              </w:rPr>
            </w:pPr>
          </w:p>
        </w:tc>
      </w:tr>
      <w:tr w:rsidR="00F03C48" w:rsidRPr="00CE0443" w:rsidTr="00F03C48">
        <w:tc>
          <w:tcPr>
            <w:tcW w:w="3397" w:type="dxa"/>
          </w:tcPr>
          <w:p w:rsidR="00F03C48" w:rsidRDefault="00F03C48" w:rsidP="00F03C48">
            <w:pPr>
              <w:pStyle w:val="NormalWeb"/>
              <w:rPr>
                <w:rFonts w:asciiTheme="minorHAnsi" w:hAnsiTheme="minorHAnsi" w:cstheme="minorHAnsi"/>
                <w:color w:val="000000"/>
                <w:szCs w:val="27"/>
              </w:rPr>
            </w:pPr>
            <w:r>
              <w:rPr>
                <w:rFonts w:asciiTheme="minorHAnsi" w:hAnsiTheme="minorHAnsi" w:cstheme="minorHAnsi"/>
                <w:color w:val="000000"/>
                <w:szCs w:val="27"/>
              </w:rPr>
              <w:t>Total</w:t>
            </w:r>
          </w:p>
        </w:tc>
        <w:tc>
          <w:tcPr>
            <w:tcW w:w="1418" w:type="dxa"/>
            <w:shd w:val="clear" w:color="auto" w:fill="auto"/>
          </w:tcPr>
          <w:p w:rsidR="00F03C48" w:rsidRPr="00CE0443" w:rsidRDefault="00C63A45" w:rsidP="00F03C48">
            <w:pPr>
              <w:rPr>
                <w:rFonts w:cstheme="minorHAnsi"/>
                <w:sz w:val="24"/>
              </w:rPr>
            </w:pPr>
            <w:r>
              <w:rPr>
                <w:rFonts w:cstheme="minorHAnsi"/>
                <w:sz w:val="24"/>
              </w:rPr>
              <w:t>£3,575 of £6,720</w:t>
            </w:r>
          </w:p>
        </w:tc>
        <w:tc>
          <w:tcPr>
            <w:tcW w:w="4201" w:type="dxa"/>
          </w:tcPr>
          <w:p w:rsidR="00F03C48" w:rsidRDefault="00F03C48" w:rsidP="00F03C48">
            <w:pPr>
              <w:rPr>
                <w:rFonts w:cstheme="minorHAnsi"/>
                <w:color w:val="000000"/>
                <w:sz w:val="24"/>
                <w:szCs w:val="27"/>
              </w:rPr>
            </w:pPr>
          </w:p>
        </w:tc>
      </w:tr>
    </w:tbl>
    <w:p w:rsidR="00F03C48" w:rsidRDefault="00F03C48" w:rsidP="00EF7A4B">
      <w:pPr>
        <w:rPr>
          <w:b/>
        </w:rPr>
      </w:pPr>
    </w:p>
    <w:p w:rsidR="00F03C48" w:rsidRDefault="00F03C48" w:rsidP="00EF7A4B">
      <w:pPr>
        <w:rPr>
          <w:b/>
        </w:rPr>
      </w:pPr>
    </w:p>
    <w:p w:rsidR="00EF7A4B" w:rsidRDefault="00EF7A4B" w:rsidP="00EF7A4B">
      <w:pPr>
        <w:rPr>
          <w:b/>
        </w:rPr>
      </w:pPr>
      <w:r w:rsidRPr="00CE0443">
        <w:rPr>
          <w:b/>
        </w:rPr>
        <w:t>Review</w:t>
      </w:r>
    </w:p>
    <w:p w:rsidR="00EF7A4B" w:rsidRPr="00CE0443" w:rsidRDefault="00EF7A4B" w:rsidP="00EF7A4B">
      <w:r>
        <w:t xml:space="preserve">This strategy will be formally reviewed in February and reported to the academy Council. </w:t>
      </w:r>
    </w:p>
    <w:p w:rsidR="0037662D" w:rsidRDefault="00C63A45"/>
    <w:sectPr w:rsidR="0037662D" w:rsidSect="00C63A45">
      <w:headerReference w:type="default" r:id="rId7"/>
      <w:pgSz w:w="11906" w:h="16838"/>
      <w:pgMar w:top="1440" w:right="1440" w:bottom="1440" w:left="1440"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A45" w:rsidRDefault="00C63A45" w:rsidP="00C63A45">
      <w:pPr>
        <w:spacing w:after="0" w:line="240" w:lineRule="auto"/>
      </w:pPr>
      <w:r>
        <w:separator/>
      </w:r>
    </w:p>
  </w:endnote>
  <w:endnote w:type="continuationSeparator" w:id="0">
    <w:p w:rsidR="00C63A45" w:rsidRDefault="00C63A45" w:rsidP="00C63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A45" w:rsidRDefault="00C63A45" w:rsidP="00C63A45">
      <w:pPr>
        <w:spacing w:after="0" w:line="240" w:lineRule="auto"/>
      </w:pPr>
      <w:r>
        <w:separator/>
      </w:r>
    </w:p>
  </w:footnote>
  <w:footnote w:type="continuationSeparator" w:id="0">
    <w:p w:rsidR="00C63A45" w:rsidRDefault="00C63A45" w:rsidP="00C63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A45" w:rsidRDefault="00C63A45">
    <w:pPr>
      <w:pStyle w:val="Header"/>
    </w:pPr>
    <w:r>
      <w:rPr>
        <w:noProof/>
        <w:lang w:eastAsia="en-GB"/>
      </w:rPr>
      <w:drawing>
        <wp:inline distT="0" distB="0" distL="0" distR="0" wp14:anchorId="4ADA39DB" wp14:editId="30EA6B90">
          <wp:extent cx="121920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19200" cy="400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A4B"/>
    <w:rsid w:val="003C0D64"/>
    <w:rsid w:val="00673860"/>
    <w:rsid w:val="00B81080"/>
    <w:rsid w:val="00C63A45"/>
    <w:rsid w:val="00EF7A4B"/>
    <w:rsid w:val="00F03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DAA0"/>
  <w15:chartTrackingRefBased/>
  <w15:docId w15:val="{8C2F341F-2A76-4E57-80C8-0A4B80C5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7A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F7A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63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A45"/>
  </w:style>
  <w:style w:type="paragraph" w:styleId="Footer">
    <w:name w:val="footer"/>
    <w:basedOn w:val="Normal"/>
    <w:link w:val="FooterChar"/>
    <w:uiPriority w:val="99"/>
    <w:unhideWhenUsed/>
    <w:rsid w:val="00C63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12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371E0-34F6-459B-9163-912788F7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Abbs</dc:creator>
  <cp:keywords/>
  <dc:description/>
  <cp:lastModifiedBy>Craig Abbs</cp:lastModifiedBy>
  <cp:revision>1</cp:revision>
  <dcterms:created xsi:type="dcterms:W3CDTF">2020-10-07T12:19:00Z</dcterms:created>
  <dcterms:modified xsi:type="dcterms:W3CDTF">2020-10-07T13:07:00Z</dcterms:modified>
</cp:coreProperties>
</file>