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1BCF" w:rsidRDefault="00663132">
      <w:pPr>
        <w:pStyle w:val="Heading1"/>
        <w:numPr>
          <w:ilvl w:val="0"/>
          <w:numId w:val="1"/>
        </w:numPr>
        <w:tabs>
          <w:tab w:val="left" w:pos="0"/>
        </w:tabs>
        <w:jc w:val="center"/>
        <w:rPr>
          <w:rFonts w:ascii="Calibri" w:eastAsia="Calibri" w:hAnsi="Calibri" w:cs="Calibri"/>
          <w:i/>
          <w:color w:val="000000"/>
        </w:rPr>
      </w:pPr>
      <w:bookmarkStart w:id="0" w:name="_gjdgxs" w:colFirst="0" w:colLast="0"/>
      <w:bookmarkEnd w:id="0"/>
      <w:r>
        <w:rPr>
          <w:rFonts w:ascii="Calibri" w:eastAsia="Calibri" w:hAnsi="Calibri" w:cs="Calibri"/>
          <w:i/>
          <w:color w:val="000000"/>
        </w:rPr>
        <w:t xml:space="preserve"> </w:t>
      </w:r>
      <w:r w:rsidR="00D2142B">
        <w:rPr>
          <w:rFonts w:ascii="Calibri" w:eastAsia="Calibri" w:hAnsi="Calibri" w:cs="Calibri"/>
          <w:i/>
          <w:color w:val="000000"/>
        </w:rPr>
        <w:t>Soundwell Academy</w:t>
      </w:r>
    </w:p>
    <w:p w:rsidR="00B01BCF" w:rsidRDefault="00D2142B">
      <w:pPr>
        <w:pStyle w:val="Heading1"/>
        <w:pageBreakBefore w:val="0"/>
        <w:numPr>
          <w:ilvl w:val="0"/>
          <w:numId w:val="1"/>
        </w:numPr>
        <w:tabs>
          <w:tab w:val="left" w:pos="0"/>
        </w:tabs>
        <w:jc w:val="center"/>
      </w:pPr>
      <w:r>
        <w:rPr>
          <w:rFonts w:ascii="Calibri" w:eastAsia="Calibri" w:hAnsi="Calibri" w:cs="Calibri"/>
          <w:color w:val="000000"/>
        </w:rPr>
        <w:t>Pupil premium strategy statement – All Schools</w:t>
      </w:r>
    </w:p>
    <w:p w:rsidR="00B01BCF" w:rsidRDefault="00D2142B">
      <w:pPr>
        <w:pStyle w:val="Heading2"/>
        <w:numPr>
          <w:ilvl w:val="1"/>
          <w:numId w:val="1"/>
        </w:numPr>
        <w:tabs>
          <w:tab w:val="left" w:pos="0"/>
        </w:tabs>
        <w:rPr>
          <w:rFonts w:ascii="Calibri" w:eastAsia="Calibri" w:hAnsi="Calibri" w:cs="Calibri"/>
          <w:b w:val="0"/>
          <w:color w:val="000000"/>
          <w:sz w:val="24"/>
          <w:szCs w:val="24"/>
        </w:rPr>
      </w:pPr>
      <w:r>
        <w:rPr>
          <w:rFonts w:ascii="Calibri" w:eastAsia="Calibri" w:hAnsi="Calibri" w:cs="Calibri"/>
          <w:b w:val="0"/>
          <w:color w:val="000000"/>
          <w:sz w:val="24"/>
          <w:szCs w:val="24"/>
        </w:rPr>
        <w:t xml:space="preserve">This statement details our school’s use of pupil premium (and recovery premium for the 2021 to 2022 academic year) funding to help improve the attainment of our disadvantaged pupils. </w:t>
      </w:r>
    </w:p>
    <w:p w:rsidR="00B01BCF" w:rsidRDefault="00D2142B">
      <w:pPr>
        <w:pStyle w:val="Heading2"/>
        <w:numPr>
          <w:ilvl w:val="1"/>
          <w:numId w:val="1"/>
        </w:numPr>
        <w:tabs>
          <w:tab w:val="left" w:pos="0"/>
        </w:tabs>
        <w:spacing w:before="240"/>
        <w:rPr>
          <w:rFonts w:ascii="Calibri" w:eastAsia="Calibri" w:hAnsi="Calibri" w:cs="Calibri"/>
          <w:b w:val="0"/>
          <w:color w:val="000000"/>
          <w:sz w:val="24"/>
          <w:szCs w:val="24"/>
        </w:rPr>
      </w:pPr>
      <w:r>
        <w:rPr>
          <w:rFonts w:ascii="Calibri" w:eastAsia="Calibri" w:hAnsi="Calibri" w:cs="Calibri"/>
          <w:b w:val="0"/>
          <w:color w:val="000000"/>
          <w:sz w:val="24"/>
          <w:szCs w:val="24"/>
        </w:rPr>
        <w:t xml:space="preserve">It outlines our pupil premium strategy, how we intend to spend the funding in this academic year and the effect that last year’s spending of pupil premium had within our school. </w:t>
      </w:r>
    </w:p>
    <w:p w:rsidR="00B01BCF" w:rsidRDefault="00D2142B">
      <w:pPr>
        <w:pStyle w:val="Heading2"/>
        <w:numPr>
          <w:ilvl w:val="1"/>
          <w:numId w:val="1"/>
        </w:numPr>
        <w:tabs>
          <w:tab w:val="left" w:pos="0"/>
        </w:tabs>
        <w:spacing w:before="240"/>
        <w:rPr>
          <w:rFonts w:ascii="Calibri" w:eastAsia="Calibri" w:hAnsi="Calibri" w:cs="Calibri"/>
          <w:color w:val="000000"/>
          <w:sz w:val="24"/>
          <w:szCs w:val="24"/>
        </w:rPr>
      </w:pPr>
      <w:bookmarkStart w:id="1" w:name="_30j0zll" w:colFirst="0" w:colLast="0"/>
      <w:bookmarkEnd w:id="1"/>
      <w:r>
        <w:rPr>
          <w:rFonts w:ascii="Calibri" w:eastAsia="Calibri" w:hAnsi="Calibri" w:cs="Calibri"/>
          <w:color w:val="000000"/>
          <w:sz w:val="24"/>
          <w:szCs w:val="24"/>
        </w:rPr>
        <w:t>School overview</w:t>
      </w:r>
    </w:p>
    <w:tbl>
      <w:tblPr>
        <w:tblStyle w:val="a"/>
        <w:tblW w:w="9496"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23"/>
        <w:gridCol w:w="2973"/>
      </w:tblGrid>
      <w:tr w:rsidR="00B01BCF">
        <w:trPr>
          <w:trHeight w:val="427"/>
        </w:trPr>
        <w:tc>
          <w:tcPr>
            <w:tcW w:w="6523"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D0D0D"/>
                <w:sz w:val="24"/>
                <w:szCs w:val="24"/>
              </w:rPr>
            </w:pPr>
            <w:r>
              <w:rPr>
                <w:rFonts w:ascii="Calibri" w:eastAsia="Calibri" w:hAnsi="Calibri" w:cs="Calibri"/>
                <w:b/>
                <w:color w:val="0D0D0D"/>
                <w:sz w:val="24"/>
                <w:szCs w:val="24"/>
              </w:rPr>
              <w:t>Detail</w:t>
            </w:r>
          </w:p>
        </w:tc>
        <w:tc>
          <w:tcPr>
            <w:tcW w:w="2973"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D0D0D"/>
                <w:sz w:val="24"/>
                <w:szCs w:val="24"/>
              </w:rPr>
            </w:pPr>
            <w:r>
              <w:rPr>
                <w:rFonts w:ascii="Calibri" w:eastAsia="Calibri" w:hAnsi="Calibri" w:cs="Calibri"/>
                <w:b/>
                <w:color w:val="0D0D0D"/>
                <w:sz w:val="24"/>
                <w:szCs w:val="24"/>
              </w:rPr>
              <w:t>Data</w:t>
            </w:r>
          </w:p>
        </w:tc>
      </w:tr>
      <w:tr w:rsidR="00B01BCF">
        <w:tc>
          <w:tcPr>
            <w:tcW w:w="652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School name</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Soundwell Academy</w:t>
            </w:r>
          </w:p>
        </w:tc>
      </w:tr>
      <w:tr w:rsidR="00B01BCF">
        <w:tc>
          <w:tcPr>
            <w:tcW w:w="652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 xml:space="preserve">Number of pupils in school </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14</w:t>
            </w:r>
            <w:r w:rsidR="00663132">
              <w:rPr>
                <w:rFonts w:ascii="Calibri" w:eastAsia="Calibri" w:hAnsi="Calibri" w:cs="Calibri"/>
                <w:color w:val="0D0D0D"/>
                <w:sz w:val="24"/>
                <w:szCs w:val="24"/>
              </w:rPr>
              <w:t>1</w:t>
            </w:r>
          </w:p>
        </w:tc>
      </w:tr>
      <w:tr w:rsidR="00B01BCF">
        <w:tc>
          <w:tcPr>
            <w:tcW w:w="652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Proportion (%) of pupil premium eligible pupils</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663132">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65</w:t>
            </w:r>
            <w:r w:rsidR="00D2142B">
              <w:rPr>
                <w:rFonts w:ascii="Calibri" w:eastAsia="Calibri" w:hAnsi="Calibri" w:cs="Calibri"/>
                <w:color w:val="0D0D0D"/>
                <w:sz w:val="24"/>
                <w:szCs w:val="24"/>
              </w:rPr>
              <w:t>%</w:t>
            </w:r>
          </w:p>
        </w:tc>
      </w:tr>
      <w:tr w:rsidR="00B01BCF">
        <w:tc>
          <w:tcPr>
            <w:tcW w:w="652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color w:val="0D0D0D"/>
                <w:sz w:val="24"/>
                <w:szCs w:val="24"/>
              </w:rPr>
            </w:pPr>
            <w:r>
              <w:rPr>
                <w:rFonts w:ascii="Calibri" w:eastAsia="Calibri" w:hAnsi="Calibri" w:cs="Calibri"/>
                <w:color w:val="0D0D0D"/>
                <w:sz w:val="24"/>
                <w:szCs w:val="24"/>
              </w:rPr>
              <w:t xml:space="preserve">Academic year/years that our current pupil premium strategy plan covers </w:t>
            </w:r>
            <w:r>
              <w:rPr>
                <w:rFonts w:ascii="Calibri" w:eastAsia="Calibri" w:hAnsi="Calibri" w:cs="Calibri"/>
                <w:b/>
                <w:color w:val="0D0D0D"/>
                <w:sz w:val="24"/>
                <w:szCs w:val="24"/>
              </w:rPr>
              <w:t>(</w:t>
            </w:r>
            <w:proofErr w:type="gramStart"/>
            <w:r>
              <w:rPr>
                <w:rFonts w:ascii="Calibri" w:eastAsia="Calibri" w:hAnsi="Calibri" w:cs="Calibri"/>
                <w:b/>
                <w:color w:val="0D0D0D"/>
                <w:sz w:val="24"/>
                <w:szCs w:val="24"/>
              </w:rPr>
              <w:t>3 year</w:t>
            </w:r>
            <w:proofErr w:type="gramEnd"/>
            <w:r>
              <w:rPr>
                <w:rFonts w:ascii="Calibri" w:eastAsia="Calibri" w:hAnsi="Calibri" w:cs="Calibri"/>
                <w:b/>
                <w:color w:val="0D0D0D"/>
                <w:sz w:val="24"/>
                <w:szCs w:val="24"/>
              </w:rPr>
              <w:t xml:space="preserve"> plans are recommended)</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24/25/26</w:t>
            </w:r>
          </w:p>
        </w:tc>
      </w:tr>
      <w:tr w:rsidR="00B01BCF">
        <w:tc>
          <w:tcPr>
            <w:tcW w:w="652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color w:val="0D0D0D"/>
                <w:sz w:val="24"/>
                <w:szCs w:val="24"/>
              </w:rPr>
            </w:pPr>
            <w:r>
              <w:rPr>
                <w:rFonts w:ascii="Calibri" w:eastAsia="Calibri" w:hAnsi="Calibri" w:cs="Calibri"/>
                <w:color w:val="0D0D0D"/>
                <w:sz w:val="24"/>
                <w:szCs w:val="24"/>
              </w:rPr>
              <w:t>Date this statement was published</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Nov 2</w:t>
            </w:r>
            <w:r w:rsidR="00663132">
              <w:rPr>
                <w:rFonts w:ascii="Calibri" w:eastAsia="Calibri" w:hAnsi="Calibri" w:cs="Calibri"/>
                <w:color w:val="0D0D0D"/>
                <w:sz w:val="24"/>
                <w:szCs w:val="24"/>
              </w:rPr>
              <w:t>5</w:t>
            </w:r>
          </w:p>
        </w:tc>
      </w:tr>
      <w:tr w:rsidR="00B01BCF">
        <w:tc>
          <w:tcPr>
            <w:tcW w:w="652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color w:val="0D0D0D"/>
                <w:sz w:val="24"/>
                <w:szCs w:val="24"/>
              </w:rPr>
            </w:pPr>
            <w:r>
              <w:rPr>
                <w:rFonts w:ascii="Calibri" w:eastAsia="Calibri" w:hAnsi="Calibri" w:cs="Calibri"/>
                <w:color w:val="0D0D0D"/>
                <w:sz w:val="24"/>
                <w:szCs w:val="24"/>
              </w:rPr>
              <w:t>Date on which it will be reviewed</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Nov 2</w:t>
            </w:r>
            <w:r w:rsidR="00663132">
              <w:rPr>
                <w:rFonts w:ascii="Calibri" w:eastAsia="Calibri" w:hAnsi="Calibri" w:cs="Calibri"/>
                <w:color w:val="0D0D0D"/>
                <w:sz w:val="24"/>
                <w:szCs w:val="24"/>
              </w:rPr>
              <w:t>6</w:t>
            </w:r>
          </w:p>
        </w:tc>
      </w:tr>
      <w:tr w:rsidR="00B01BCF">
        <w:tc>
          <w:tcPr>
            <w:tcW w:w="652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Statement authorised by</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Craig Abbs</w:t>
            </w:r>
          </w:p>
        </w:tc>
      </w:tr>
      <w:tr w:rsidR="00B01BCF">
        <w:tc>
          <w:tcPr>
            <w:tcW w:w="652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Pupil premium lead</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Craig Abbs</w:t>
            </w:r>
          </w:p>
        </w:tc>
      </w:tr>
      <w:tr w:rsidR="00B01BCF">
        <w:tc>
          <w:tcPr>
            <w:tcW w:w="652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color w:val="0D0D0D"/>
                <w:sz w:val="24"/>
                <w:szCs w:val="24"/>
              </w:rPr>
            </w:pPr>
            <w:r>
              <w:rPr>
                <w:rFonts w:ascii="Calibri" w:eastAsia="Calibri" w:hAnsi="Calibri" w:cs="Calibri"/>
                <w:color w:val="0D0D0D"/>
                <w:sz w:val="24"/>
                <w:szCs w:val="24"/>
              </w:rPr>
              <w:t>Governor / Trustee lead</w:t>
            </w:r>
          </w:p>
        </w:tc>
        <w:tc>
          <w:tcPr>
            <w:tcW w:w="297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Ali Cade</w:t>
            </w:r>
          </w:p>
        </w:tc>
      </w:tr>
    </w:tbl>
    <w:p w:rsidR="00B01BCF" w:rsidRDefault="00D2142B">
      <w:pPr>
        <w:pStyle w:val="Heading2"/>
        <w:numPr>
          <w:ilvl w:val="1"/>
          <w:numId w:val="1"/>
        </w:numPr>
        <w:tabs>
          <w:tab w:val="left" w:pos="0"/>
        </w:tabs>
        <w:spacing w:before="240"/>
        <w:rPr>
          <w:rFonts w:ascii="Calibri" w:eastAsia="Calibri" w:hAnsi="Calibri" w:cs="Calibri"/>
          <w:color w:val="000000"/>
          <w:sz w:val="24"/>
          <w:szCs w:val="24"/>
        </w:rPr>
      </w:pPr>
      <w:r>
        <w:rPr>
          <w:rFonts w:ascii="Calibri" w:eastAsia="Calibri" w:hAnsi="Calibri" w:cs="Calibri"/>
          <w:color w:val="000000"/>
          <w:sz w:val="24"/>
          <w:szCs w:val="24"/>
        </w:rPr>
        <w:t>Funding overview</w:t>
      </w:r>
    </w:p>
    <w:tbl>
      <w:tblPr>
        <w:tblStyle w:val="a0"/>
        <w:tblW w:w="9486"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970"/>
      </w:tblGrid>
      <w:tr w:rsidR="00B01BCF">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vAlign w:val="center"/>
          </w:tcPr>
          <w:p w:rsidR="00B01BCF" w:rsidRDefault="00D2142B">
            <w:pPr>
              <w:pBdr>
                <w:top w:val="nil"/>
                <w:left w:val="nil"/>
                <w:bottom w:val="nil"/>
                <w:right w:val="nil"/>
                <w:between w:val="nil"/>
              </w:pBdr>
              <w:spacing w:before="60" w:after="60"/>
              <w:ind w:left="57" w:right="57"/>
              <w:rPr>
                <w:color w:val="0D0D0D"/>
                <w:sz w:val="24"/>
                <w:szCs w:val="24"/>
              </w:rPr>
            </w:pPr>
            <w:r>
              <w:rPr>
                <w:rFonts w:ascii="Calibri" w:eastAsia="Calibri" w:hAnsi="Calibri" w:cs="Calibri"/>
                <w:b/>
                <w:color w:val="0D0D0D"/>
                <w:sz w:val="24"/>
                <w:szCs w:val="24"/>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vAlign w:val="center"/>
          </w:tcPr>
          <w:p w:rsidR="00B01BCF" w:rsidRDefault="00D2142B">
            <w:pPr>
              <w:pBdr>
                <w:top w:val="nil"/>
                <w:left w:val="nil"/>
                <w:bottom w:val="nil"/>
                <w:right w:val="nil"/>
                <w:between w:val="nil"/>
              </w:pBdr>
              <w:spacing w:before="60" w:after="60"/>
              <w:ind w:left="57" w:right="57"/>
              <w:rPr>
                <w:color w:val="0D0D0D"/>
                <w:sz w:val="24"/>
                <w:szCs w:val="24"/>
              </w:rPr>
            </w:pPr>
            <w:r>
              <w:rPr>
                <w:rFonts w:ascii="Calibri" w:eastAsia="Calibri" w:hAnsi="Calibri" w:cs="Calibri"/>
                <w:b/>
                <w:color w:val="0D0D0D"/>
                <w:sz w:val="24"/>
                <w:szCs w:val="24"/>
              </w:rPr>
              <w:t>Amount</w:t>
            </w:r>
          </w:p>
        </w:tc>
      </w:tr>
      <w:tr w:rsidR="00B01BCF">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w:t>
            </w:r>
            <w:r w:rsidR="00663132">
              <w:rPr>
                <w:rFonts w:ascii="Calibri" w:eastAsia="Calibri" w:hAnsi="Calibri" w:cs="Calibri"/>
                <w:color w:val="0D0D0D"/>
                <w:sz w:val="24"/>
                <w:szCs w:val="24"/>
              </w:rPr>
              <w:t xml:space="preserve"> </w:t>
            </w:r>
            <w:r w:rsidR="001F21CE">
              <w:rPr>
                <w:rFonts w:ascii="Calibri" w:eastAsia="Calibri" w:hAnsi="Calibri" w:cs="Calibri"/>
                <w:color w:val="0D0D0D"/>
                <w:sz w:val="24"/>
                <w:szCs w:val="24"/>
              </w:rPr>
              <w:t>4,545</w:t>
            </w:r>
            <w:r>
              <w:rPr>
                <w:rFonts w:ascii="Calibri" w:eastAsia="Calibri" w:hAnsi="Calibri" w:cs="Calibri"/>
                <w:color w:val="0D0D0D"/>
                <w:sz w:val="24"/>
                <w:szCs w:val="24"/>
              </w:rPr>
              <w:t>(P</w:t>
            </w:r>
            <w:r>
              <w:rPr>
                <w:rFonts w:ascii="Calibri" w:eastAsia="Calibri" w:hAnsi="Calibri" w:cs="Calibri"/>
                <w:color w:val="0D0D0D"/>
                <w:sz w:val="24"/>
                <w:szCs w:val="24"/>
              </w:rPr>
              <w:t>)</w:t>
            </w:r>
          </w:p>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w:t>
            </w:r>
            <w:r w:rsidR="001F21CE">
              <w:rPr>
                <w:rFonts w:ascii="Calibri" w:eastAsia="Calibri" w:hAnsi="Calibri" w:cs="Calibri"/>
                <w:color w:val="0D0D0D"/>
                <w:sz w:val="24"/>
                <w:szCs w:val="24"/>
              </w:rPr>
              <w:t xml:space="preserve"> </w:t>
            </w:r>
            <w:bookmarkStart w:id="2" w:name="_GoBack"/>
            <w:bookmarkEnd w:id="2"/>
            <w:r w:rsidR="001F21CE">
              <w:rPr>
                <w:rFonts w:ascii="Calibri" w:eastAsia="Calibri" w:hAnsi="Calibri" w:cs="Calibri"/>
                <w:color w:val="0D0D0D"/>
                <w:sz w:val="24"/>
                <w:szCs w:val="24"/>
              </w:rPr>
              <w:t>89,520 (</w:t>
            </w:r>
            <w:r>
              <w:rPr>
                <w:rFonts w:ascii="Calibri" w:eastAsia="Calibri" w:hAnsi="Calibri" w:cs="Calibri"/>
                <w:color w:val="0D0D0D"/>
                <w:sz w:val="24"/>
                <w:szCs w:val="24"/>
              </w:rPr>
              <w:t>S)</w:t>
            </w:r>
          </w:p>
        </w:tc>
      </w:tr>
      <w:tr w:rsidR="00B01BCF">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£0</w:t>
            </w:r>
          </w:p>
        </w:tc>
      </w:tr>
      <w:tr w:rsidR="00B01BCF">
        <w:tc>
          <w:tcPr>
            <w:tcW w:w="6516"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b/>
                <w:color w:val="0D0D0D"/>
                <w:sz w:val="24"/>
                <w:szCs w:val="24"/>
              </w:rPr>
            </w:pPr>
            <w:r>
              <w:rPr>
                <w:rFonts w:ascii="Calibri" w:eastAsia="Calibri" w:hAnsi="Calibri" w:cs="Calibri"/>
                <w:b/>
                <w:color w:val="0D0D0D"/>
                <w:sz w:val="24"/>
                <w:szCs w:val="24"/>
              </w:rPr>
              <w:t>Total budget for this academic year</w:t>
            </w:r>
          </w:p>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w:t>
            </w:r>
            <w:r w:rsidR="00433BAF">
              <w:rPr>
                <w:color w:val="222222"/>
                <w:shd w:val="clear" w:color="auto" w:fill="FFFFFF"/>
              </w:rPr>
              <w:t>94,065</w:t>
            </w:r>
          </w:p>
        </w:tc>
      </w:tr>
    </w:tbl>
    <w:p w:rsidR="00B01BCF" w:rsidRDefault="00B01BCF">
      <w:pPr>
        <w:pBdr>
          <w:top w:val="nil"/>
          <w:left w:val="nil"/>
          <w:bottom w:val="nil"/>
          <w:right w:val="nil"/>
          <w:between w:val="nil"/>
        </w:pBdr>
        <w:spacing w:after="240" w:line="288" w:lineRule="auto"/>
        <w:rPr>
          <w:color w:val="0D0D0D"/>
          <w:sz w:val="24"/>
          <w:szCs w:val="24"/>
        </w:rPr>
      </w:pPr>
    </w:p>
    <w:p w:rsidR="00B01BCF" w:rsidRDefault="00D2142B">
      <w:pPr>
        <w:pStyle w:val="Heading1"/>
        <w:numPr>
          <w:ilvl w:val="0"/>
          <w:numId w:val="1"/>
        </w:numPr>
        <w:tabs>
          <w:tab w:val="left" w:pos="0"/>
        </w:tabs>
        <w:rPr>
          <w:rFonts w:ascii="Calibri" w:eastAsia="Calibri" w:hAnsi="Calibri" w:cs="Calibri"/>
          <w:color w:val="000000"/>
        </w:rPr>
      </w:pPr>
      <w:r>
        <w:rPr>
          <w:rFonts w:ascii="Calibri" w:eastAsia="Calibri" w:hAnsi="Calibri" w:cs="Calibri"/>
          <w:color w:val="000000"/>
        </w:rPr>
        <w:lastRenderedPageBreak/>
        <w:t>Part A: Pupil premium strategy plan</w:t>
      </w:r>
    </w:p>
    <w:p w:rsidR="00B01BCF" w:rsidRDefault="00D2142B">
      <w:pPr>
        <w:pStyle w:val="Heading2"/>
        <w:numPr>
          <w:ilvl w:val="1"/>
          <w:numId w:val="1"/>
        </w:numPr>
        <w:tabs>
          <w:tab w:val="left" w:pos="0"/>
        </w:tabs>
        <w:rPr>
          <w:rFonts w:ascii="Calibri" w:eastAsia="Calibri" w:hAnsi="Calibri" w:cs="Calibri"/>
          <w:color w:val="000000"/>
        </w:rPr>
      </w:pPr>
      <w:bookmarkStart w:id="3" w:name="_1fob9te" w:colFirst="0" w:colLast="0"/>
      <w:bookmarkEnd w:id="3"/>
      <w:r>
        <w:rPr>
          <w:rFonts w:ascii="Calibri" w:eastAsia="Calibri" w:hAnsi="Calibri" w:cs="Calibri"/>
          <w:color w:val="000000"/>
        </w:rPr>
        <w:t>Statement of intent</w:t>
      </w:r>
    </w:p>
    <w:tbl>
      <w:tblPr>
        <w:tblStyle w:val="a1"/>
        <w:tblW w:w="9486"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86"/>
      </w:tblGrid>
      <w:tr w:rsidR="00B01BCF">
        <w:tc>
          <w:tcPr>
            <w:tcW w:w="9486"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shd w:val="clear" w:color="auto" w:fill="FFFFFF"/>
              <w:spacing w:before="240" w:after="160" w:line="276" w:lineRule="auto"/>
              <w:rPr>
                <w:rFonts w:ascii="Calibri" w:eastAsia="Calibri" w:hAnsi="Calibri" w:cs="Calibri"/>
                <w:i/>
                <w:sz w:val="24"/>
                <w:szCs w:val="24"/>
              </w:rPr>
            </w:pPr>
            <w:r>
              <w:rPr>
                <w:rFonts w:ascii="Calibri" w:eastAsia="Calibri" w:hAnsi="Calibri" w:cs="Calibri"/>
                <w:i/>
                <w:sz w:val="24"/>
                <w:szCs w:val="24"/>
              </w:rPr>
              <w:t>At Soundwell Academy we aim to ensure the gap being narrowed is supporting learners in meeting the aspirational aims identified in the Education Health and Care Plans for each learner.</w:t>
            </w:r>
          </w:p>
          <w:p w:rsidR="00B01BCF" w:rsidRDefault="00D2142B">
            <w:pPr>
              <w:shd w:val="clear" w:color="auto" w:fill="FFFFFF"/>
              <w:spacing w:before="240" w:after="160" w:line="276" w:lineRule="auto"/>
              <w:rPr>
                <w:rFonts w:ascii="Calibri" w:eastAsia="Calibri" w:hAnsi="Calibri" w:cs="Calibri"/>
                <w:i/>
                <w:sz w:val="24"/>
                <w:szCs w:val="24"/>
              </w:rPr>
            </w:pPr>
            <w:r>
              <w:rPr>
                <w:rFonts w:ascii="Calibri" w:eastAsia="Calibri" w:hAnsi="Calibri" w:cs="Calibri"/>
                <w:i/>
                <w:sz w:val="24"/>
                <w:szCs w:val="24"/>
              </w:rPr>
              <w:t xml:space="preserve">We are committed to raising pupil achievement across the planned curriculum and supporting the wider developmental learning needs of our pupils which include their engagement with learning, communication strategies, social interaction, mental health needs </w:t>
            </w:r>
            <w:r>
              <w:rPr>
                <w:rFonts w:ascii="Calibri" w:eastAsia="Calibri" w:hAnsi="Calibri" w:cs="Calibri"/>
                <w:i/>
                <w:sz w:val="24"/>
                <w:szCs w:val="24"/>
              </w:rPr>
              <w:t>and independence. All pupils have Personal Support Plans that, linking with their Education Health and Care plans, identify their short-term targets and the provision that is in place to support them to meet these. These provision plans also ensure that in</w:t>
            </w:r>
            <w:r>
              <w:rPr>
                <w:rFonts w:ascii="Calibri" w:eastAsia="Calibri" w:hAnsi="Calibri" w:cs="Calibri"/>
                <w:i/>
                <w:sz w:val="24"/>
                <w:szCs w:val="24"/>
              </w:rPr>
              <w:t>tervention activities are integrated with the wider curriculum and classroom teaching and ensure that interventions are directed to the pupils who are most in need. We invest the pupil premium income in providing additional support, staff training and reso</w:t>
            </w:r>
            <w:r>
              <w:rPr>
                <w:rFonts w:ascii="Calibri" w:eastAsia="Calibri" w:hAnsi="Calibri" w:cs="Calibri"/>
                <w:i/>
                <w:sz w:val="24"/>
                <w:szCs w:val="24"/>
              </w:rPr>
              <w:t>urces to enable school staff to better meet our pupils' diverse learning and developmental support needs.</w:t>
            </w:r>
          </w:p>
          <w:p w:rsidR="00B01BCF" w:rsidRDefault="00D2142B">
            <w:pPr>
              <w:shd w:val="clear" w:color="auto" w:fill="FFFFFF"/>
              <w:spacing w:before="240" w:after="160" w:line="276" w:lineRule="auto"/>
              <w:rPr>
                <w:rFonts w:ascii="Calibri" w:eastAsia="Calibri" w:hAnsi="Calibri" w:cs="Calibri"/>
                <w:i/>
                <w:sz w:val="24"/>
                <w:szCs w:val="24"/>
              </w:rPr>
            </w:pPr>
            <w:r>
              <w:rPr>
                <w:rFonts w:ascii="Calibri" w:eastAsia="Calibri" w:hAnsi="Calibri" w:cs="Calibri"/>
                <w:i/>
                <w:sz w:val="24"/>
                <w:szCs w:val="24"/>
              </w:rPr>
              <w:t>We know that good teaching is the most important lever in improving outcomes for all of our pupils, especially those who are identified as disadvantag</w:t>
            </w:r>
            <w:r>
              <w:rPr>
                <w:rFonts w:ascii="Calibri" w:eastAsia="Calibri" w:hAnsi="Calibri" w:cs="Calibri"/>
                <w:i/>
                <w:sz w:val="24"/>
                <w:szCs w:val="24"/>
              </w:rPr>
              <w:t>ed and so we have a considerable investment in developing evidence-informed teaching and learning strategies. Alongside this we are ensuring that our investment in learning facilitators has the impact of improving outcomes by developing our understanding a</w:t>
            </w:r>
            <w:r>
              <w:rPr>
                <w:rFonts w:ascii="Calibri" w:eastAsia="Calibri" w:hAnsi="Calibri" w:cs="Calibri"/>
                <w:i/>
                <w:sz w:val="24"/>
                <w:szCs w:val="24"/>
              </w:rPr>
              <w:t>nd practice around their deployment and day-to-day practice.</w:t>
            </w:r>
          </w:p>
          <w:p w:rsidR="00B01BCF" w:rsidRDefault="00D2142B">
            <w:pPr>
              <w:shd w:val="clear" w:color="auto" w:fill="FFFFFF"/>
              <w:spacing w:before="240" w:after="240" w:line="276" w:lineRule="auto"/>
              <w:rPr>
                <w:rFonts w:ascii="Calibri" w:eastAsia="Calibri" w:hAnsi="Calibri" w:cs="Calibri"/>
                <w:i/>
                <w:sz w:val="24"/>
                <w:szCs w:val="24"/>
              </w:rPr>
            </w:pPr>
            <w:r>
              <w:rPr>
                <w:rFonts w:ascii="Calibri" w:eastAsia="Calibri" w:hAnsi="Calibri" w:cs="Calibri"/>
                <w:i/>
                <w:sz w:val="24"/>
                <w:szCs w:val="24"/>
              </w:rPr>
              <w:t xml:space="preserve">A number of pupils have specific barriers to progress and additional needs that are not met through their core provision, and so a proportion of the Pupil Premium funding is set aside to meet these needs as they arise. This may involve engaging additional </w:t>
            </w:r>
            <w:r>
              <w:rPr>
                <w:rFonts w:ascii="Calibri" w:eastAsia="Calibri" w:hAnsi="Calibri" w:cs="Calibri"/>
                <w:i/>
                <w:sz w:val="24"/>
                <w:szCs w:val="24"/>
              </w:rPr>
              <w:t>agencies such as mentoring services or therapeutic interventions such as zones of regulation or play therapy.</w:t>
            </w:r>
          </w:p>
          <w:p w:rsidR="00B01BCF" w:rsidRDefault="00B01BCF">
            <w:pPr>
              <w:pBdr>
                <w:top w:val="nil"/>
                <w:left w:val="nil"/>
                <w:bottom w:val="nil"/>
                <w:right w:val="nil"/>
                <w:between w:val="nil"/>
              </w:pBdr>
              <w:spacing w:after="240" w:line="288" w:lineRule="auto"/>
              <w:rPr>
                <w:rFonts w:ascii="Calibri" w:eastAsia="Calibri" w:hAnsi="Calibri" w:cs="Calibri"/>
                <w:i/>
                <w:sz w:val="24"/>
                <w:szCs w:val="24"/>
              </w:rPr>
            </w:pPr>
          </w:p>
        </w:tc>
      </w:tr>
    </w:tbl>
    <w:p w:rsidR="00B01BCF" w:rsidRDefault="00D2142B">
      <w:pPr>
        <w:pStyle w:val="Heading2"/>
        <w:numPr>
          <w:ilvl w:val="1"/>
          <w:numId w:val="1"/>
        </w:numPr>
        <w:tabs>
          <w:tab w:val="left" w:pos="0"/>
        </w:tabs>
        <w:spacing w:before="600"/>
        <w:rPr>
          <w:rFonts w:ascii="Calibri" w:eastAsia="Calibri" w:hAnsi="Calibri" w:cs="Calibri"/>
          <w:color w:val="000000"/>
        </w:rPr>
      </w:pPr>
      <w:r>
        <w:rPr>
          <w:rFonts w:ascii="Calibri" w:eastAsia="Calibri" w:hAnsi="Calibri" w:cs="Calibri"/>
          <w:color w:val="000000"/>
        </w:rPr>
        <w:t>Challenges</w:t>
      </w:r>
    </w:p>
    <w:p w:rsidR="00B01BCF" w:rsidRDefault="00D2142B">
      <w:pPr>
        <w:numPr>
          <w:ilvl w:val="0"/>
          <w:numId w:val="1"/>
        </w:numPr>
        <w:pBdr>
          <w:top w:val="nil"/>
          <w:left w:val="nil"/>
          <w:bottom w:val="nil"/>
          <w:right w:val="nil"/>
          <w:between w:val="nil"/>
        </w:pBdr>
        <w:tabs>
          <w:tab w:val="left" w:pos="0"/>
        </w:tabs>
        <w:spacing w:before="120"/>
        <w:rPr>
          <w:color w:val="0D0D0D"/>
          <w:sz w:val="24"/>
          <w:szCs w:val="24"/>
        </w:rPr>
      </w:pPr>
      <w:r>
        <w:rPr>
          <w:rFonts w:ascii="Calibri" w:eastAsia="Calibri" w:hAnsi="Calibri" w:cs="Calibri"/>
          <w:color w:val="000000"/>
          <w:sz w:val="24"/>
          <w:szCs w:val="24"/>
        </w:rPr>
        <w:t>This details the key challenges to achievement that we have identified among our disadvantaged pupils.</w:t>
      </w:r>
    </w:p>
    <w:tbl>
      <w:tblPr>
        <w:tblStyle w:val="a2"/>
        <w:tblW w:w="9496"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78"/>
        <w:gridCol w:w="8018"/>
      </w:tblGrid>
      <w:tr w:rsidR="00B01BCF">
        <w:tc>
          <w:tcPr>
            <w:tcW w:w="1478"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Challenge number</w:t>
            </w:r>
          </w:p>
        </w:tc>
        <w:tc>
          <w:tcPr>
            <w:tcW w:w="8018"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 xml:space="preserve">Detail of challenge </w:t>
            </w:r>
          </w:p>
        </w:tc>
      </w:tr>
      <w:tr w:rsidR="00B01BCF">
        <w:tc>
          <w:tcPr>
            <w:tcW w:w="1478"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00000"/>
                <w:sz w:val="22"/>
                <w:szCs w:val="22"/>
              </w:rPr>
            </w:pPr>
            <w:r>
              <w:rPr>
                <w:rFonts w:ascii="Calibri" w:eastAsia="Calibri" w:hAnsi="Calibri" w:cs="Calibri"/>
                <w:color w:val="000000"/>
                <w:sz w:val="22"/>
                <w:szCs w:val="22"/>
              </w:rPr>
              <w:t>1</w:t>
            </w:r>
          </w:p>
        </w:tc>
        <w:tc>
          <w:tcPr>
            <w:tcW w:w="8018"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Mental Health and well-being issues caused by ACES and past trauma</w:t>
            </w:r>
          </w:p>
        </w:tc>
      </w:tr>
      <w:tr w:rsidR="00B01BCF">
        <w:tc>
          <w:tcPr>
            <w:tcW w:w="1478"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00000"/>
                <w:sz w:val="22"/>
                <w:szCs w:val="22"/>
              </w:rPr>
            </w:pPr>
            <w:r>
              <w:rPr>
                <w:rFonts w:ascii="Calibri" w:eastAsia="Calibri" w:hAnsi="Calibri" w:cs="Calibri"/>
                <w:color w:val="000000"/>
                <w:sz w:val="22"/>
                <w:szCs w:val="22"/>
              </w:rPr>
              <w:t>2</w:t>
            </w:r>
          </w:p>
        </w:tc>
        <w:tc>
          <w:tcPr>
            <w:tcW w:w="8018"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00000"/>
                <w:sz w:val="22"/>
                <w:szCs w:val="22"/>
              </w:rPr>
            </w:pPr>
            <w:r>
              <w:rPr>
                <w:rFonts w:ascii="Calibri" w:eastAsia="Calibri" w:hAnsi="Calibri" w:cs="Calibri"/>
                <w:color w:val="0D0D0D"/>
                <w:sz w:val="24"/>
                <w:szCs w:val="24"/>
              </w:rPr>
              <w:t>As identified from attendance reviews, attendance of our disadvantaged pupils is below that of the other pupils.</w:t>
            </w:r>
          </w:p>
        </w:tc>
      </w:tr>
      <w:tr w:rsidR="00B01BCF">
        <w:tc>
          <w:tcPr>
            <w:tcW w:w="1478"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00000"/>
                <w:sz w:val="22"/>
                <w:szCs w:val="22"/>
              </w:rPr>
            </w:pPr>
            <w:r>
              <w:rPr>
                <w:rFonts w:ascii="Calibri" w:eastAsia="Calibri" w:hAnsi="Calibri" w:cs="Calibri"/>
                <w:color w:val="000000"/>
                <w:sz w:val="22"/>
                <w:szCs w:val="22"/>
              </w:rPr>
              <w:lastRenderedPageBreak/>
              <w:t>3</w:t>
            </w:r>
          </w:p>
        </w:tc>
        <w:tc>
          <w:tcPr>
            <w:tcW w:w="8018"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B01BCF" w:rsidRDefault="00D2142B">
            <w:pPr>
              <w:spacing w:before="240" w:after="240"/>
              <w:rPr>
                <w:rFonts w:ascii="Calibri" w:eastAsia="Calibri" w:hAnsi="Calibri" w:cs="Calibri"/>
                <w:sz w:val="24"/>
                <w:szCs w:val="24"/>
              </w:rPr>
            </w:pPr>
            <w:r>
              <w:rPr>
                <w:rFonts w:ascii="Calibri" w:eastAsia="Calibri" w:hAnsi="Calibri" w:cs="Calibri"/>
                <w:sz w:val="24"/>
                <w:szCs w:val="24"/>
              </w:rPr>
              <w:t>A wide range of social, emotional and mental health needs as identified through the Education, Health and Care plans and through safeguarding concerns.</w:t>
            </w:r>
          </w:p>
        </w:tc>
      </w:tr>
      <w:tr w:rsidR="00B01BCF">
        <w:tc>
          <w:tcPr>
            <w:tcW w:w="1478"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00000"/>
                <w:sz w:val="22"/>
                <w:szCs w:val="22"/>
              </w:rPr>
            </w:pPr>
            <w:r>
              <w:rPr>
                <w:rFonts w:ascii="Calibri" w:eastAsia="Calibri" w:hAnsi="Calibri" w:cs="Calibri"/>
                <w:color w:val="000000"/>
                <w:sz w:val="22"/>
                <w:szCs w:val="22"/>
              </w:rPr>
              <w:t>4</w:t>
            </w:r>
          </w:p>
        </w:tc>
        <w:tc>
          <w:tcPr>
            <w:tcW w:w="801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B01BCF" w:rsidRDefault="00433BAF">
            <w:pPr>
              <w:spacing w:before="240" w:after="240"/>
              <w:rPr>
                <w:rFonts w:ascii="Calibri" w:eastAsia="Calibri" w:hAnsi="Calibri" w:cs="Calibri"/>
                <w:sz w:val="24"/>
                <w:szCs w:val="24"/>
              </w:rPr>
            </w:pPr>
            <w:r>
              <w:rPr>
                <w:rFonts w:ascii="Calibri" w:eastAsia="Calibri" w:hAnsi="Calibri" w:cs="Calibri"/>
                <w:sz w:val="24"/>
                <w:szCs w:val="24"/>
              </w:rPr>
              <w:t>Accelerating academic progress to support with end of Year 11 qualifications</w:t>
            </w:r>
          </w:p>
        </w:tc>
      </w:tr>
    </w:tbl>
    <w:p w:rsidR="00B01BCF" w:rsidRDefault="00D2142B">
      <w:pPr>
        <w:pStyle w:val="Heading2"/>
        <w:numPr>
          <w:ilvl w:val="1"/>
          <w:numId w:val="1"/>
        </w:numPr>
        <w:tabs>
          <w:tab w:val="left" w:pos="0"/>
        </w:tabs>
        <w:spacing w:before="600"/>
        <w:rPr>
          <w:rFonts w:ascii="Calibri" w:eastAsia="Calibri" w:hAnsi="Calibri" w:cs="Calibri"/>
          <w:color w:val="000000"/>
        </w:rPr>
      </w:pPr>
      <w:r>
        <w:rPr>
          <w:rFonts w:ascii="Calibri" w:eastAsia="Calibri" w:hAnsi="Calibri" w:cs="Calibri"/>
          <w:color w:val="000000"/>
        </w:rPr>
        <w:t xml:space="preserve">Intended outcomes </w:t>
      </w:r>
    </w:p>
    <w:p w:rsidR="00B01BCF" w:rsidRDefault="00D2142B">
      <w:pPr>
        <w:pBdr>
          <w:top w:val="nil"/>
          <w:left w:val="nil"/>
          <w:bottom w:val="nil"/>
          <w:right w:val="nil"/>
          <w:between w:val="nil"/>
        </w:pBdr>
        <w:spacing w:after="240" w:line="288" w:lineRule="auto"/>
        <w:rPr>
          <w:color w:val="0D0D0D"/>
          <w:sz w:val="24"/>
          <w:szCs w:val="24"/>
        </w:rPr>
      </w:pPr>
      <w:r>
        <w:rPr>
          <w:rFonts w:ascii="Calibri" w:eastAsia="Calibri" w:hAnsi="Calibri" w:cs="Calibri"/>
          <w:color w:val="000000"/>
          <w:sz w:val="24"/>
          <w:szCs w:val="24"/>
        </w:rPr>
        <w:t xml:space="preserve">This explains the outcomes we are aiming for </w:t>
      </w:r>
      <w:r>
        <w:rPr>
          <w:rFonts w:ascii="Calibri" w:eastAsia="Calibri" w:hAnsi="Calibri" w:cs="Calibri"/>
          <w:b/>
          <w:color w:val="000000"/>
          <w:sz w:val="24"/>
          <w:szCs w:val="24"/>
        </w:rPr>
        <w:t>by the end of our current strategy plan</w:t>
      </w:r>
      <w:r>
        <w:rPr>
          <w:rFonts w:ascii="Calibri" w:eastAsia="Calibri" w:hAnsi="Calibri" w:cs="Calibri"/>
          <w:color w:val="000000"/>
          <w:sz w:val="24"/>
          <w:szCs w:val="24"/>
        </w:rPr>
        <w:t>, and how we will measure whether they have been achieved.</w:t>
      </w:r>
    </w:p>
    <w:tbl>
      <w:tblPr>
        <w:tblStyle w:val="a3"/>
        <w:tblW w:w="9496"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6"/>
      </w:tblGrid>
      <w:tr w:rsidR="00B01BCF">
        <w:tc>
          <w:tcPr>
            <w:tcW w:w="4820"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Intended outcome</w:t>
            </w:r>
          </w:p>
        </w:tc>
        <w:tc>
          <w:tcPr>
            <w:tcW w:w="4676"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Success criteria</w:t>
            </w:r>
          </w:p>
        </w:tc>
      </w:tr>
      <w:tr w:rsidR="00B01BCF">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pBdr>
                <w:top w:val="nil"/>
                <w:left w:val="nil"/>
                <w:bottom w:val="nil"/>
                <w:right w:val="nil"/>
                <w:between w:val="nil"/>
              </w:pBdr>
              <w:spacing w:before="60" w:after="60"/>
              <w:ind w:left="57" w:right="57"/>
              <w:rPr>
                <w:rFonts w:ascii="Calibri" w:eastAsia="Calibri" w:hAnsi="Calibri" w:cs="Calibri"/>
                <w:color w:val="0D0D0D"/>
                <w:sz w:val="24"/>
                <w:szCs w:val="24"/>
              </w:rPr>
            </w:pPr>
          </w:p>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 xml:space="preserve">To support to improve the </w:t>
            </w:r>
            <w:proofErr w:type="gramStart"/>
            <w:r>
              <w:rPr>
                <w:rFonts w:ascii="Calibri" w:eastAsia="Calibri" w:hAnsi="Calibri" w:cs="Calibri"/>
                <w:color w:val="0D0D0D"/>
                <w:sz w:val="24"/>
                <w:szCs w:val="24"/>
              </w:rPr>
              <w:t>pupils</w:t>
            </w:r>
            <w:proofErr w:type="gramEnd"/>
            <w:r>
              <w:rPr>
                <w:rFonts w:ascii="Calibri" w:eastAsia="Calibri" w:hAnsi="Calibri" w:cs="Calibri"/>
                <w:color w:val="0D0D0D"/>
                <w:sz w:val="24"/>
                <w:szCs w:val="24"/>
              </w:rPr>
              <w:t xml:space="preserve"> mental health through a variety of out of classroom experiences </w:t>
            </w:r>
          </w:p>
          <w:p w:rsidR="00B01BCF" w:rsidRDefault="00B01BCF">
            <w:pPr>
              <w:pBdr>
                <w:top w:val="nil"/>
                <w:left w:val="nil"/>
                <w:bottom w:val="nil"/>
                <w:right w:val="nil"/>
                <w:between w:val="nil"/>
              </w:pBdr>
              <w:spacing w:before="60" w:after="60"/>
              <w:ind w:left="57" w:right="57"/>
              <w:rPr>
                <w:rFonts w:ascii="Calibri" w:eastAsia="Calibri" w:hAnsi="Calibri" w:cs="Calibri"/>
                <w:color w:val="0D0D0D"/>
                <w:sz w:val="24"/>
                <w:szCs w:val="24"/>
              </w:rPr>
            </w:pP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pBdr>
                <w:top w:val="nil"/>
                <w:left w:val="nil"/>
                <w:bottom w:val="nil"/>
                <w:right w:val="nil"/>
                <w:between w:val="nil"/>
              </w:pBdr>
              <w:spacing w:before="60" w:after="60"/>
              <w:ind w:left="57" w:right="57"/>
              <w:rPr>
                <w:rFonts w:ascii="Calibri" w:eastAsia="Calibri" w:hAnsi="Calibri" w:cs="Calibri"/>
                <w:sz w:val="24"/>
                <w:szCs w:val="24"/>
              </w:rPr>
            </w:pPr>
          </w:p>
          <w:p w:rsidR="00B01BCF" w:rsidRDefault="00D2142B">
            <w:pPr>
              <w:pBdr>
                <w:top w:val="nil"/>
                <w:left w:val="nil"/>
                <w:bottom w:val="nil"/>
                <w:right w:val="nil"/>
                <w:between w:val="nil"/>
              </w:pBdr>
              <w:spacing w:before="60" w:after="60"/>
              <w:ind w:left="57" w:right="57"/>
              <w:rPr>
                <w:rFonts w:ascii="Calibri" w:eastAsia="Calibri" w:hAnsi="Calibri" w:cs="Calibri"/>
                <w:sz w:val="24"/>
                <w:szCs w:val="24"/>
              </w:rPr>
            </w:pPr>
            <w:r>
              <w:rPr>
                <w:rFonts w:ascii="Calibri" w:eastAsia="Calibri" w:hAnsi="Calibri" w:cs="Calibri"/>
                <w:sz w:val="24"/>
                <w:szCs w:val="24"/>
              </w:rPr>
              <w:t xml:space="preserve">Pupils mental health improves </w:t>
            </w:r>
          </w:p>
          <w:p w:rsidR="00B01BCF" w:rsidRDefault="00D2142B">
            <w:pPr>
              <w:pBdr>
                <w:top w:val="nil"/>
                <w:left w:val="nil"/>
                <w:bottom w:val="nil"/>
                <w:right w:val="nil"/>
                <w:between w:val="nil"/>
              </w:pBdr>
              <w:spacing w:before="60" w:after="60"/>
              <w:ind w:left="57" w:right="57"/>
              <w:rPr>
                <w:rFonts w:ascii="Calibri" w:eastAsia="Calibri" w:hAnsi="Calibri" w:cs="Calibri"/>
                <w:sz w:val="24"/>
                <w:szCs w:val="24"/>
              </w:rPr>
            </w:pPr>
            <w:r>
              <w:rPr>
                <w:rFonts w:ascii="Calibri" w:eastAsia="Calibri" w:hAnsi="Calibri" w:cs="Calibri"/>
                <w:sz w:val="24"/>
                <w:szCs w:val="24"/>
              </w:rPr>
              <w:t xml:space="preserve">Pupils are confident to be able to identify strategies to support them to become mentally healthy. </w:t>
            </w:r>
          </w:p>
          <w:p w:rsidR="00B01BCF" w:rsidRDefault="00B01BCF">
            <w:pPr>
              <w:pBdr>
                <w:top w:val="nil"/>
                <w:left w:val="nil"/>
                <w:bottom w:val="nil"/>
                <w:right w:val="nil"/>
                <w:between w:val="nil"/>
              </w:pBdr>
              <w:spacing w:before="60" w:after="60"/>
              <w:ind w:left="57" w:right="57"/>
              <w:rPr>
                <w:rFonts w:ascii="Calibri" w:eastAsia="Calibri" w:hAnsi="Calibri" w:cs="Calibri"/>
                <w:sz w:val="24"/>
                <w:szCs w:val="24"/>
              </w:rPr>
            </w:pPr>
          </w:p>
        </w:tc>
      </w:tr>
      <w:tr w:rsidR="00B01BCF">
        <w:tc>
          <w:tcPr>
            <w:tcW w:w="482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B01BCF" w:rsidRDefault="00D2142B">
            <w:pPr>
              <w:spacing w:before="240" w:after="240"/>
              <w:rPr>
                <w:rFonts w:ascii="Calibri" w:eastAsia="Calibri" w:hAnsi="Calibri" w:cs="Calibri"/>
                <w:sz w:val="24"/>
                <w:szCs w:val="24"/>
              </w:rPr>
            </w:pPr>
            <w:r>
              <w:rPr>
                <w:rFonts w:ascii="Calibri" w:eastAsia="Calibri" w:hAnsi="Calibri" w:cs="Calibri"/>
                <w:sz w:val="24"/>
                <w:szCs w:val="24"/>
              </w:rPr>
              <w:t>Improved attendance for our disadvantaged pupils</w:t>
            </w:r>
          </w:p>
        </w:tc>
        <w:tc>
          <w:tcPr>
            <w:tcW w:w="4676"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B01BCF" w:rsidRDefault="00D2142B">
            <w:pPr>
              <w:spacing w:before="240" w:after="240"/>
              <w:rPr>
                <w:rFonts w:ascii="Calibri" w:eastAsia="Calibri" w:hAnsi="Calibri" w:cs="Calibri"/>
                <w:sz w:val="24"/>
                <w:szCs w:val="24"/>
              </w:rPr>
            </w:pPr>
            <w:r>
              <w:rPr>
                <w:rFonts w:ascii="Calibri" w:eastAsia="Calibri" w:hAnsi="Calibri" w:cs="Calibri"/>
                <w:sz w:val="24"/>
                <w:szCs w:val="24"/>
              </w:rPr>
              <w:t>Attendance; the attendance of our disadvantaged pupils is below that of the other pupils.</w:t>
            </w:r>
          </w:p>
          <w:p w:rsidR="00B01BCF" w:rsidRDefault="00D2142B">
            <w:pPr>
              <w:spacing w:before="240" w:after="240"/>
              <w:rPr>
                <w:rFonts w:ascii="Calibri" w:eastAsia="Calibri" w:hAnsi="Calibri" w:cs="Calibri"/>
                <w:sz w:val="24"/>
                <w:szCs w:val="24"/>
              </w:rPr>
            </w:pPr>
            <w:r>
              <w:rPr>
                <w:rFonts w:ascii="Calibri" w:eastAsia="Calibri" w:hAnsi="Calibri" w:cs="Calibri"/>
                <w:sz w:val="24"/>
                <w:szCs w:val="24"/>
              </w:rPr>
              <w:t>Our registers and attendance reviews will show an improvement for our disadvantaged pupils.</w:t>
            </w:r>
          </w:p>
        </w:tc>
      </w:tr>
      <w:tr w:rsidR="00B01BCF">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spacing w:before="60" w:after="60"/>
              <w:ind w:left="57" w:right="57"/>
              <w:rPr>
                <w:rFonts w:ascii="Calibri" w:eastAsia="Calibri" w:hAnsi="Calibri" w:cs="Calibri"/>
                <w:sz w:val="24"/>
                <w:szCs w:val="24"/>
              </w:rPr>
            </w:pPr>
          </w:p>
          <w:p w:rsidR="00B01BCF" w:rsidRDefault="00D2142B">
            <w:pPr>
              <w:spacing w:before="60" w:after="60"/>
              <w:ind w:left="57" w:right="57"/>
              <w:rPr>
                <w:rFonts w:ascii="Calibri" w:eastAsia="Calibri" w:hAnsi="Calibri" w:cs="Calibri"/>
                <w:color w:val="0D0D0D"/>
                <w:sz w:val="24"/>
                <w:szCs w:val="24"/>
              </w:rPr>
            </w:pPr>
            <w:r>
              <w:rPr>
                <w:rFonts w:ascii="Calibri" w:eastAsia="Calibri" w:hAnsi="Calibri" w:cs="Calibri"/>
                <w:sz w:val="24"/>
                <w:szCs w:val="24"/>
              </w:rPr>
              <w:t>Every pupil will be better able to identify the emotions they are feeling, and to be developing strategies to manage their emotions in an appropriate way</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spacing w:before="60" w:after="60"/>
              <w:ind w:left="57" w:right="57"/>
              <w:rPr>
                <w:rFonts w:ascii="Calibri" w:eastAsia="Calibri" w:hAnsi="Calibri" w:cs="Calibri"/>
                <w:sz w:val="24"/>
                <w:szCs w:val="24"/>
              </w:rPr>
            </w:pPr>
          </w:p>
          <w:p w:rsidR="00B01BCF" w:rsidRDefault="00D2142B">
            <w:pPr>
              <w:spacing w:before="60" w:after="60"/>
              <w:ind w:left="57" w:right="57"/>
              <w:rPr>
                <w:rFonts w:ascii="Calibri" w:eastAsia="Calibri" w:hAnsi="Calibri" w:cs="Calibri"/>
                <w:sz w:val="24"/>
                <w:szCs w:val="24"/>
              </w:rPr>
            </w:pPr>
            <w:r>
              <w:rPr>
                <w:rFonts w:ascii="Calibri" w:eastAsia="Calibri" w:hAnsi="Calibri" w:cs="Calibri"/>
                <w:sz w:val="24"/>
                <w:szCs w:val="24"/>
              </w:rPr>
              <w:t xml:space="preserve">There will be less incidents of dysregulation and the need for RPI’s will have decreased. </w:t>
            </w:r>
          </w:p>
          <w:p w:rsidR="00B01BCF" w:rsidRDefault="00D2142B">
            <w:pPr>
              <w:spacing w:before="60" w:after="60"/>
              <w:ind w:left="57" w:right="57"/>
              <w:rPr>
                <w:rFonts w:ascii="Calibri" w:eastAsia="Calibri" w:hAnsi="Calibri" w:cs="Calibri"/>
                <w:sz w:val="24"/>
                <w:szCs w:val="24"/>
              </w:rPr>
            </w:pPr>
            <w:r>
              <w:rPr>
                <w:rFonts w:ascii="Calibri" w:eastAsia="Calibri" w:hAnsi="Calibri" w:cs="Calibri"/>
                <w:sz w:val="24"/>
                <w:szCs w:val="24"/>
              </w:rPr>
              <w:t xml:space="preserve">Pupils will have a toolkit to help manage their emotions. </w:t>
            </w:r>
          </w:p>
          <w:p w:rsidR="00B01BCF" w:rsidRDefault="00B01BCF">
            <w:pPr>
              <w:spacing w:before="60" w:after="60"/>
              <w:ind w:left="57" w:right="57"/>
              <w:rPr>
                <w:rFonts w:ascii="Calibri" w:eastAsia="Calibri" w:hAnsi="Calibri" w:cs="Calibri"/>
                <w:sz w:val="24"/>
                <w:szCs w:val="24"/>
              </w:rPr>
            </w:pPr>
          </w:p>
        </w:tc>
      </w:tr>
      <w:tr w:rsidR="00B01BCF">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pBdr>
                <w:top w:val="nil"/>
                <w:left w:val="nil"/>
                <w:bottom w:val="nil"/>
                <w:right w:val="nil"/>
                <w:between w:val="nil"/>
              </w:pBdr>
              <w:spacing w:before="60" w:after="60"/>
              <w:ind w:left="57" w:right="57"/>
              <w:rPr>
                <w:rFonts w:ascii="Calibri" w:eastAsia="Calibri" w:hAnsi="Calibri" w:cs="Calibri"/>
                <w:sz w:val="24"/>
                <w:szCs w:val="24"/>
              </w:rPr>
            </w:pPr>
          </w:p>
          <w:p w:rsidR="00433BAF" w:rsidRDefault="00433BAF">
            <w:pPr>
              <w:pBdr>
                <w:top w:val="nil"/>
                <w:left w:val="nil"/>
                <w:bottom w:val="nil"/>
                <w:right w:val="nil"/>
                <w:between w:val="nil"/>
              </w:pBdr>
              <w:spacing w:before="60" w:after="60"/>
              <w:ind w:left="57" w:right="57"/>
              <w:rPr>
                <w:rFonts w:ascii="Calibri" w:eastAsia="Calibri" w:hAnsi="Calibri" w:cs="Calibri"/>
                <w:sz w:val="24"/>
                <w:szCs w:val="24"/>
              </w:rPr>
            </w:pPr>
            <w:r>
              <w:rPr>
                <w:rFonts w:ascii="Calibri" w:eastAsia="Calibri" w:hAnsi="Calibri" w:cs="Calibri"/>
                <w:sz w:val="24"/>
                <w:szCs w:val="24"/>
              </w:rPr>
              <w:t xml:space="preserve">To support the pupils, achieve the highest academic qualifications </w:t>
            </w:r>
          </w:p>
          <w:p w:rsidR="00B01BCF" w:rsidRDefault="00B01BCF">
            <w:pPr>
              <w:pBdr>
                <w:top w:val="nil"/>
                <w:left w:val="nil"/>
                <w:bottom w:val="nil"/>
                <w:right w:val="nil"/>
                <w:between w:val="nil"/>
              </w:pBdr>
              <w:spacing w:before="60" w:after="60"/>
              <w:ind w:left="57" w:right="57"/>
              <w:rPr>
                <w:rFonts w:ascii="Calibri" w:eastAsia="Calibri" w:hAnsi="Calibri" w:cs="Calibri"/>
                <w:color w:val="000000"/>
                <w:sz w:val="24"/>
                <w:szCs w:val="24"/>
              </w:rPr>
            </w:pP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pBdr>
                <w:top w:val="nil"/>
                <w:left w:val="nil"/>
                <w:bottom w:val="nil"/>
                <w:right w:val="nil"/>
                <w:between w:val="nil"/>
              </w:pBdr>
              <w:spacing w:before="60" w:after="60"/>
              <w:ind w:left="57" w:right="57"/>
              <w:rPr>
                <w:rFonts w:ascii="Calibri" w:eastAsia="Calibri" w:hAnsi="Calibri" w:cs="Calibri"/>
                <w:sz w:val="24"/>
                <w:szCs w:val="24"/>
              </w:rPr>
            </w:pPr>
          </w:p>
          <w:p w:rsidR="00B01BCF" w:rsidRDefault="00433BAF" w:rsidP="00433BAF">
            <w:pPr>
              <w:pBdr>
                <w:top w:val="nil"/>
                <w:left w:val="nil"/>
                <w:bottom w:val="nil"/>
                <w:right w:val="nil"/>
                <w:between w:val="nil"/>
              </w:pBdr>
              <w:spacing w:before="60" w:after="60"/>
              <w:ind w:left="57" w:right="57"/>
              <w:rPr>
                <w:rFonts w:ascii="Calibri" w:eastAsia="Calibri" w:hAnsi="Calibri" w:cs="Calibri"/>
                <w:sz w:val="24"/>
                <w:szCs w:val="24"/>
              </w:rPr>
            </w:pPr>
            <w:r>
              <w:rPr>
                <w:rFonts w:ascii="Calibri" w:eastAsia="Calibri" w:hAnsi="Calibri" w:cs="Calibri"/>
                <w:sz w:val="24"/>
                <w:szCs w:val="24"/>
              </w:rPr>
              <w:t>Pupils to engage with Academic interventions, when identified</w:t>
            </w:r>
          </w:p>
          <w:p w:rsidR="00433BAF" w:rsidRDefault="00433BAF" w:rsidP="00433BAF">
            <w:pPr>
              <w:pBdr>
                <w:top w:val="nil"/>
                <w:left w:val="nil"/>
                <w:bottom w:val="nil"/>
                <w:right w:val="nil"/>
                <w:between w:val="nil"/>
              </w:pBdr>
              <w:spacing w:before="60" w:after="60"/>
              <w:ind w:left="57" w:right="57"/>
              <w:rPr>
                <w:rFonts w:ascii="Calibri" w:eastAsia="Calibri" w:hAnsi="Calibri" w:cs="Calibri"/>
                <w:sz w:val="24"/>
                <w:szCs w:val="24"/>
              </w:rPr>
            </w:pPr>
            <w:r>
              <w:rPr>
                <w:rFonts w:ascii="Calibri" w:eastAsia="Calibri" w:hAnsi="Calibri" w:cs="Calibri"/>
                <w:sz w:val="24"/>
                <w:szCs w:val="24"/>
              </w:rPr>
              <w:t>Further intervention for Phonics, Reading, English and Maths</w:t>
            </w:r>
          </w:p>
          <w:p w:rsidR="00433BAF" w:rsidRDefault="00433BAF" w:rsidP="00433BAF">
            <w:pPr>
              <w:pBdr>
                <w:top w:val="nil"/>
                <w:left w:val="nil"/>
                <w:bottom w:val="nil"/>
                <w:right w:val="nil"/>
                <w:between w:val="nil"/>
              </w:pBdr>
              <w:spacing w:before="60" w:after="60"/>
              <w:ind w:left="57" w:right="57"/>
              <w:rPr>
                <w:rFonts w:ascii="Calibri" w:eastAsia="Calibri" w:hAnsi="Calibri" w:cs="Calibri"/>
                <w:sz w:val="24"/>
                <w:szCs w:val="24"/>
              </w:rPr>
            </w:pPr>
          </w:p>
        </w:tc>
      </w:tr>
    </w:tbl>
    <w:p w:rsidR="00B01BCF" w:rsidRDefault="00D2142B">
      <w:pPr>
        <w:pStyle w:val="Heading2"/>
        <w:numPr>
          <w:ilvl w:val="1"/>
          <w:numId w:val="1"/>
        </w:numPr>
        <w:tabs>
          <w:tab w:val="left" w:pos="0"/>
        </w:tabs>
        <w:rPr>
          <w:rFonts w:ascii="Calibri" w:eastAsia="Calibri" w:hAnsi="Calibri" w:cs="Calibri"/>
          <w:color w:val="000000"/>
        </w:rPr>
      </w:pPr>
      <w:r>
        <w:br w:type="page"/>
      </w:r>
    </w:p>
    <w:p w:rsidR="00B01BCF" w:rsidRDefault="00B01BCF">
      <w:pPr>
        <w:pBdr>
          <w:top w:val="nil"/>
          <w:left w:val="nil"/>
          <w:bottom w:val="nil"/>
          <w:right w:val="nil"/>
          <w:between w:val="nil"/>
        </w:pBdr>
        <w:rPr>
          <w:color w:val="0D0D0D"/>
          <w:sz w:val="24"/>
          <w:szCs w:val="24"/>
        </w:rPr>
      </w:pPr>
    </w:p>
    <w:p w:rsidR="00B01BCF" w:rsidRDefault="00D2142B">
      <w:pPr>
        <w:pStyle w:val="Heading2"/>
        <w:numPr>
          <w:ilvl w:val="1"/>
          <w:numId w:val="1"/>
        </w:numPr>
        <w:tabs>
          <w:tab w:val="left" w:pos="0"/>
        </w:tabs>
        <w:rPr>
          <w:rFonts w:ascii="Calibri" w:eastAsia="Calibri" w:hAnsi="Calibri" w:cs="Calibri"/>
          <w:color w:val="000000"/>
        </w:rPr>
      </w:pPr>
      <w:r>
        <w:rPr>
          <w:rFonts w:ascii="Calibri" w:eastAsia="Calibri" w:hAnsi="Calibri" w:cs="Calibri"/>
          <w:color w:val="000000"/>
        </w:rPr>
        <w:t>Activity in this academic year</w:t>
      </w:r>
    </w:p>
    <w:p w:rsidR="00B01BCF" w:rsidRDefault="00D2142B">
      <w:pPr>
        <w:pBdr>
          <w:top w:val="nil"/>
          <w:left w:val="nil"/>
          <w:bottom w:val="nil"/>
          <w:right w:val="nil"/>
          <w:between w:val="nil"/>
        </w:pBdr>
        <w:spacing w:after="480" w:line="288" w:lineRule="auto"/>
        <w:rPr>
          <w:color w:val="0D0D0D"/>
          <w:sz w:val="24"/>
          <w:szCs w:val="24"/>
        </w:rPr>
      </w:pPr>
      <w:r>
        <w:rPr>
          <w:rFonts w:ascii="Calibri" w:eastAsia="Calibri" w:hAnsi="Calibri" w:cs="Calibri"/>
          <w:color w:val="000000"/>
          <w:sz w:val="24"/>
          <w:szCs w:val="24"/>
        </w:rPr>
        <w:t xml:space="preserve">This details how we intend to spend our pupil premium (and recovery premium funding) </w:t>
      </w:r>
      <w:r>
        <w:rPr>
          <w:rFonts w:ascii="Calibri" w:eastAsia="Calibri" w:hAnsi="Calibri" w:cs="Calibri"/>
          <w:b/>
          <w:color w:val="000000"/>
          <w:sz w:val="24"/>
          <w:szCs w:val="24"/>
        </w:rPr>
        <w:t>this academic year</w:t>
      </w:r>
      <w:r>
        <w:rPr>
          <w:rFonts w:ascii="Calibri" w:eastAsia="Calibri" w:hAnsi="Calibri" w:cs="Calibri"/>
          <w:color w:val="000000"/>
          <w:sz w:val="24"/>
          <w:szCs w:val="24"/>
        </w:rPr>
        <w:t xml:space="preserve"> to address the challenges listed above.</w:t>
      </w:r>
    </w:p>
    <w:p w:rsidR="00B01BCF" w:rsidRDefault="00D2142B">
      <w:pPr>
        <w:pStyle w:val="Heading3"/>
        <w:numPr>
          <w:ilvl w:val="2"/>
          <w:numId w:val="1"/>
        </w:numPr>
        <w:tabs>
          <w:tab w:val="left" w:pos="0"/>
        </w:tabs>
        <w:rPr>
          <w:rFonts w:ascii="Calibri" w:eastAsia="Calibri" w:hAnsi="Calibri" w:cs="Calibri"/>
          <w:color w:val="000000"/>
        </w:rPr>
      </w:pPr>
      <w:r>
        <w:rPr>
          <w:rFonts w:ascii="Calibri" w:eastAsia="Calibri" w:hAnsi="Calibri" w:cs="Calibri"/>
          <w:color w:val="000000"/>
        </w:rPr>
        <w:t>Teaching (for example, CPD, recruitment and retention)</w:t>
      </w:r>
    </w:p>
    <w:p w:rsidR="00B01BCF" w:rsidRDefault="00D2142B">
      <w:pPr>
        <w:pBdr>
          <w:top w:val="nil"/>
          <w:left w:val="nil"/>
          <w:bottom w:val="nil"/>
          <w:right w:val="nil"/>
          <w:between w:val="nil"/>
        </w:pBdr>
        <w:spacing w:after="240" w:line="288" w:lineRule="auto"/>
        <w:rPr>
          <w:color w:val="0D0D0D"/>
          <w:sz w:val="24"/>
          <w:szCs w:val="24"/>
        </w:rPr>
      </w:pPr>
      <w:r>
        <w:rPr>
          <w:rFonts w:ascii="Calibri" w:eastAsia="Calibri" w:hAnsi="Calibri" w:cs="Calibri"/>
          <w:color w:val="000000"/>
          <w:sz w:val="24"/>
          <w:szCs w:val="24"/>
        </w:rPr>
        <w:t xml:space="preserve">Budgeted cost: £ </w:t>
      </w:r>
      <w:r w:rsidR="003B13F9">
        <w:rPr>
          <w:rFonts w:ascii="Calibri" w:eastAsia="Calibri" w:hAnsi="Calibri" w:cs="Calibri"/>
          <w:color w:val="000000"/>
          <w:sz w:val="24"/>
          <w:szCs w:val="24"/>
        </w:rPr>
        <w:t>2</w:t>
      </w:r>
      <w:r>
        <w:rPr>
          <w:rFonts w:ascii="Calibri" w:eastAsia="Calibri" w:hAnsi="Calibri" w:cs="Calibri"/>
          <w:i/>
          <w:sz w:val="24"/>
          <w:szCs w:val="24"/>
        </w:rPr>
        <w:t>,000</w:t>
      </w:r>
    </w:p>
    <w:tbl>
      <w:tblPr>
        <w:tblStyle w:val="a4"/>
        <w:tblW w:w="9496"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0"/>
        <w:gridCol w:w="4259"/>
        <w:gridCol w:w="2547"/>
      </w:tblGrid>
      <w:tr w:rsidR="00B01BCF">
        <w:tc>
          <w:tcPr>
            <w:tcW w:w="2690"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Activity</w:t>
            </w:r>
          </w:p>
        </w:tc>
        <w:tc>
          <w:tcPr>
            <w:tcW w:w="4259"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Evidence that supports this approach</w:t>
            </w:r>
          </w:p>
        </w:tc>
        <w:tc>
          <w:tcPr>
            <w:tcW w:w="2547"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Challenge number(s) addressed</w:t>
            </w:r>
          </w:p>
        </w:tc>
      </w:tr>
      <w:tr w:rsidR="00B01BCF">
        <w:tc>
          <w:tcPr>
            <w:tcW w:w="26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B01BCF" w:rsidRDefault="00D2142B">
            <w:pPr>
              <w:spacing w:before="240" w:after="240"/>
              <w:rPr>
                <w:rFonts w:ascii="Calibri" w:eastAsia="Calibri" w:hAnsi="Calibri" w:cs="Calibri"/>
                <w:color w:val="0D0D0D"/>
                <w:sz w:val="24"/>
                <w:szCs w:val="24"/>
              </w:rPr>
            </w:pPr>
            <w:r>
              <w:rPr>
                <w:rFonts w:ascii="Calibri" w:eastAsia="Calibri" w:hAnsi="Calibri" w:cs="Calibri"/>
                <w:color w:val="0D0D0D"/>
                <w:sz w:val="24"/>
                <w:szCs w:val="24"/>
              </w:rPr>
              <w:t>Investing in developing teachers understanding of reading</w:t>
            </w:r>
          </w:p>
        </w:tc>
        <w:tc>
          <w:tcPr>
            <w:tcW w:w="4259"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B01BCF" w:rsidRDefault="00D2142B">
            <w:pPr>
              <w:spacing w:before="240" w:after="240"/>
              <w:rPr>
                <w:rFonts w:ascii="Calibri" w:eastAsia="Calibri" w:hAnsi="Calibri" w:cs="Calibri"/>
                <w:sz w:val="24"/>
                <w:szCs w:val="24"/>
              </w:rPr>
            </w:pPr>
            <w:r>
              <w:rPr>
                <w:rFonts w:ascii="Calibri" w:eastAsia="Calibri" w:hAnsi="Calibri" w:cs="Calibri"/>
                <w:sz w:val="24"/>
                <w:szCs w:val="24"/>
              </w:rPr>
              <w:t>EEF guidance on development of quality teaching, Reading Comprehension</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pBdr>
                <w:top w:val="nil"/>
                <w:left w:val="nil"/>
                <w:bottom w:val="nil"/>
                <w:right w:val="nil"/>
                <w:between w:val="nil"/>
              </w:pBdr>
              <w:spacing w:before="60" w:after="60"/>
              <w:ind w:left="57" w:right="57"/>
              <w:rPr>
                <w:rFonts w:ascii="Calibri" w:eastAsia="Calibri" w:hAnsi="Calibri" w:cs="Calibri"/>
                <w:sz w:val="22"/>
                <w:szCs w:val="22"/>
              </w:rPr>
            </w:pPr>
          </w:p>
          <w:p w:rsidR="00B01BCF" w:rsidRDefault="00D2142B">
            <w:pPr>
              <w:pBdr>
                <w:top w:val="nil"/>
                <w:left w:val="nil"/>
                <w:bottom w:val="nil"/>
                <w:right w:val="nil"/>
                <w:between w:val="nil"/>
              </w:pBdr>
              <w:spacing w:before="60" w:after="60"/>
              <w:ind w:left="57" w:right="57"/>
              <w:rPr>
                <w:rFonts w:ascii="Calibri" w:eastAsia="Calibri" w:hAnsi="Calibri" w:cs="Calibri"/>
                <w:sz w:val="22"/>
                <w:szCs w:val="22"/>
              </w:rPr>
            </w:pPr>
            <w:r>
              <w:rPr>
                <w:rFonts w:ascii="Calibri" w:eastAsia="Calibri" w:hAnsi="Calibri" w:cs="Calibri"/>
                <w:sz w:val="22"/>
                <w:szCs w:val="22"/>
              </w:rPr>
              <w:t>1, 2, 3</w:t>
            </w:r>
          </w:p>
        </w:tc>
      </w:tr>
      <w:tr w:rsidR="00B01BCF">
        <w:tc>
          <w:tcPr>
            <w:tcW w:w="269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B01BCF" w:rsidRDefault="00D2142B">
            <w:pPr>
              <w:spacing w:before="240" w:after="240"/>
              <w:rPr>
                <w:rFonts w:ascii="Calibri" w:eastAsia="Calibri" w:hAnsi="Calibri" w:cs="Calibri"/>
                <w:sz w:val="24"/>
                <w:szCs w:val="24"/>
              </w:rPr>
            </w:pPr>
            <w:r>
              <w:rPr>
                <w:rFonts w:ascii="Calibri" w:eastAsia="Calibri" w:hAnsi="Calibri" w:cs="Calibri"/>
                <w:sz w:val="24"/>
                <w:szCs w:val="24"/>
              </w:rPr>
              <w:t>Investing in Sensory knowledge training via Beacon House.</w:t>
            </w:r>
          </w:p>
        </w:tc>
        <w:tc>
          <w:tcPr>
            <w:tcW w:w="4259" w:type="dxa"/>
            <w:tcBorders>
              <w:top w:val="nil"/>
              <w:left w:val="nil"/>
              <w:bottom w:val="single" w:sz="5" w:space="0" w:color="000000"/>
              <w:right w:val="single" w:sz="5" w:space="0" w:color="000000"/>
            </w:tcBorders>
            <w:tcMar>
              <w:top w:w="0" w:type="dxa"/>
              <w:left w:w="100" w:type="dxa"/>
              <w:bottom w:w="0" w:type="dxa"/>
              <w:right w:w="100" w:type="dxa"/>
            </w:tcMar>
          </w:tcPr>
          <w:p w:rsidR="00B01BCF" w:rsidRDefault="00D2142B">
            <w:pPr>
              <w:spacing w:before="240" w:after="240"/>
              <w:rPr>
                <w:rFonts w:ascii="Calibri" w:eastAsia="Calibri" w:hAnsi="Calibri" w:cs="Calibri"/>
                <w:sz w:val="24"/>
                <w:szCs w:val="24"/>
              </w:rPr>
            </w:pPr>
            <w:r>
              <w:rPr>
                <w:rFonts w:ascii="Calibri" w:eastAsia="Calibri" w:hAnsi="Calibri" w:cs="Calibri"/>
                <w:sz w:val="24"/>
                <w:szCs w:val="24"/>
              </w:rPr>
              <w:t>EEF guidance on development of quality teaching, Metacognition and Self-Regulation.</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pBdr>
                <w:top w:val="nil"/>
                <w:left w:val="nil"/>
                <w:bottom w:val="nil"/>
                <w:right w:val="nil"/>
                <w:between w:val="nil"/>
              </w:pBdr>
              <w:spacing w:before="60" w:after="60"/>
              <w:ind w:left="57" w:right="57"/>
              <w:rPr>
                <w:rFonts w:ascii="Calibri" w:eastAsia="Calibri" w:hAnsi="Calibri" w:cs="Calibri"/>
                <w:sz w:val="22"/>
                <w:szCs w:val="22"/>
              </w:rPr>
            </w:pPr>
          </w:p>
          <w:p w:rsidR="00B01BCF" w:rsidRDefault="00D2142B">
            <w:pPr>
              <w:pBdr>
                <w:top w:val="nil"/>
                <w:left w:val="nil"/>
                <w:bottom w:val="nil"/>
                <w:right w:val="nil"/>
                <w:between w:val="nil"/>
              </w:pBdr>
              <w:spacing w:before="60" w:after="60"/>
              <w:ind w:left="57" w:right="57"/>
              <w:rPr>
                <w:rFonts w:ascii="Calibri" w:eastAsia="Calibri" w:hAnsi="Calibri" w:cs="Calibri"/>
                <w:sz w:val="22"/>
                <w:szCs w:val="22"/>
              </w:rPr>
            </w:pPr>
            <w:r>
              <w:rPr>
                <w:rFonts w:ascii="Calibri" w:eastAsia="Calibri" w:hAnsi="Calibri" w:cs="Calibri"/>
                <w:sz w:val="22"/>
                <w:szCs w:val="22"/>
              </w:rPr>
              <w:t>1, 3</w:t>
            </w:r>
          </w:p>
        </w:tc>
      </w:tr>
      <w:tr w:rsidR="00B01BCF">
        <w:tc>
          <w:tcPr>
            <w:tcW w:w="26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B01BCF" w:rsidRDefault="00D2142B">
            <w:pPr>
              <w:spacing w:before="240" w:after="240"/>
              <w:rPr>
                <w:rFonts w:ascii="Calibri" w:eastAsia="Calibri" w:hAnsi="Calibri" w:cs="Calibri"/>
                <w:color w:val="0D0D0D"/>
                <w:sz w:val="24"/>
                <w:szCs w:val="24"/>
              </w:rPr>
            </w:pPr>
            <w:r>
              <w:rPr>
                <w:rFonts w:ascii="Calibri" w:eastAsia="Calibri" w:hAnsi="Calibri" w:cs="Calibri"/>
                <w:color w:val="0D0D0D"/>
                <w:sz w:val="24"/>
                <w:szCs w:val="24"/>
              </w:rPr>
              <w:t>Reading intervention</w:t>
            </w:r>
          </w:p>
        </w:tc>
        <w:tc>
          <w:tcPr>
            <w:tcW w:w="4259"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B01BCF" w:rsidRDefault="00D2142B">
            <w:pPr>
              <w:spacing w:before="240" w:after="240"/>
              <w:rPr>
                <w:rFonts w:ascii="Calibri" w:eastAsia="Calibri" w:hAnsi="Calibri" w:cs="Calibri"/>
                <w:sz w:val="24"/>
                <w:szCs w:val="24"/>
              </w:rPr>
            </w:pPr>
            <w:r>
              <w:rPr>
                <w:rFonts w:ascii="Calibri" w:eastAsia="Calibri" w:hAnsi="Calibri" w:cs="Calibri"/>
                <w:sz w:val="24"/>
                <w:szCs w:val="24"/>
              </w:rPr>
              <w:t>Our assessment data shows that there is a need to raise the level of reading for many of our pupils. The EEF identify reading comprehension strategies as high impact but caution that, “Supporting struggling readers is likely to require a coordinated effort</w:t>
            </w:r>
            <w:r>
              <w:rPr>
                <w:rFonts w:ascii="Calibri" w:eastAsia="Calibri" w:hAnsi="Calibri" w:cs="Calibri"/>
                <w:sz w:val="24"/>
                <w:szCs w:val="24"/>
              </w:rPr>
              <w:t xml:space="preserve"> across the curriculum and a combination of approaches that include phonics, reading comprehension and oral language approaches …. careful diagnosis of the reasons why an individual pupil is struggling should guide the choice of intervention strategies.” T</w:t>
            </w:r>
            <w:r>
              <w:rPr>
                <w:rFonts w:ascii="Calibri" w:eastAsia="Calibri" w:hAnsi="Calibri" w:cs="Calibri"/>
                <w:sz w:val="24"/>
                <w:szCs w:val="24"/>
              </w:rPr>
              <w:t>he needs of all of our pupils are carefully assessed and a range of support and intervention put in place as appropriate.</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sz w:val="22"/>
                <w:szCs w:val="22"/>
              </w:rPr>
            </w:pPr>
            <w:r>
              <w:rPr>
                <w:rFonts w:ascii="Calibri" w:eastAsia="Calibri" w:hAnsi="Calibri" w:cs="Calibri"/>
                <w:sz w:val="22"/>
                <w:szCs w:val="22"/>
              </w:rPr>
              <w:t>1, 2</w:t>
            </w:r>
          </w:p>
        </w:tc>
      </w:tr>
    </w:tbl>
    <w:p w:rsidR="00B01BCF" w:rsidRDefault="00B01BCF">
      <w:pPr>
        <w:keepNext/>
        <w:numPr>
          <w:ilvl w:val="1"/>
          <w:numId w:val="1"/>
        </w:numPr>
        <w:pBdr>
          <w:top w:val="nil"/>
          <w:left w:val="nil"/>
          <w:bottom w:val="nil"/>
          <w:right w:val="nil"/>
          <w:between w:val="nil"/>
        </w:pBdr>
        <w:tabs>
          <w:tab w:val="left" w:pos="0"/>
        </w:tabs>
        <w:spacing w:after="60" w:line="288" w:lineRule="auto"/>
        <w:rPr>
          <w:rFonts w:ascii="Calibri" w:eastAsia="Calibri" w:hAnsi="Calibri" w:cs="Calibri"/>
          <w:color w:val="000000"/>
          <w:sz w:val="24"/>
          <w:szCs w:val="24"/>
        </w:rPr>
      </w:pPr>
    </w:p>
    <w:p w:rsidR="00B01BCF" w:rsidRDefault="00D2142B">
      <w:pPr>
        <w:pBdr>
          <w:top w:val="nil"/>
          <w:left w:val="nil"/>
          <w:bottom w:val="nil"/>
          <w:right w:val="nil"/>
          <w:between w:val="nil"/>
        </w:pBdr>
        <w:spacing w:after="240" w:line="288" w:lineRule="auto"/>
        <w:rPr>
          <w:rFonts w:ascii="Calibri" w:eastAsia="Calibri" w:hAnsi="Calibri" w:cs="Calibri"/>
          <w:b/>
          <w:color w:val="000000"/>
          <w:sz w:val="28"/>
          <w:szCs w:val="28"/>
        </w:rPr>
      </w:pPr>
      <w:r>
        <w:rPr>
          <w:rFonts w:ascii="Calibri" w:eastAsia="Calibri" w:hAnsi="Calibri" w:cs="Calibri"/>
          <w:b/>
          <w:color w:val="000000"/>
          <w:sz w:val="28"/>
          <w:szCs w:val="28"/>
        </w:rPr>
        <w:t xml:space="preserve">Targeted academic support (for example, tutoring, one-to-one support structured interventions) </w:t>
      </w:r>
    </w:p>
    <w:p w:rsidR="00B01BCF" w:rsidRDefault="00D2142B">
      <w:pPr>
        <w:pBdr>
          <w:top w:val="nil"/>
          <w:left w:val="nil"/>
          <w:bottom w:val="nil"/>
          <w:right w:val="nil"/>
          <w:between w:val="nil"/>
        </w:pBdr>
        <w:spacing w:after="240" w:line="288" w:lineRule="auto"/>
        <w:rPr>
          <w:color w:val="0D0D0D"/>
          <w:sz w:val="24"/>
          <w:szCs w:val="24"/>
        </w:rPr>
      </w:pPr>
      <w:r>
        <w:rPr>
          <w:rFonts w:ascii="Calibri" w:eastAsia="Calibri" w:hAnsi="Calibri" w:cs="Calibri"/>
          <w:color w:val="000000"/>
          <w:sz w:val="24"/>
          <w:szCs w:val="24"/>
        </w:rPr>
        <w:t xml:space="preserve">Budgeted cost: £ </w:t>
      </w:r>
      <w:r>
        <w:rPr>
          <w:rFonts w:ascii="Calibri" w:eastAsia="Calibri" w:hAnsi="Calibri" w:cs="Calibri"/>
          <w:i/>
          <w:sz w:val="24"/>
          <w:szCs w:val="24"/>
        </w:rPr>
        <w:t>70,000</w:t>
      </w:r>
    </w:p>
    <w:tbl>
      <w:tblPr>
        <w:tblStyle w:val="a5"/>
        <w:tblW w:w="9496"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0"/>
        <w:gridCol w:w="4259"/>
        <w:gridCol w:w="2547"/>
      </w:tblGrid>
      <w:tr w:rsidR="00B01BCF">
        <w:tc>
          <w:tcPr>
            <w:tcW w:w="2690"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Activity</w:t>
            </w:r>
          </w:p>
        </w:tc>
        <w:tc>
          <w:tcPr>
            <w:tcW w:w="4259"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Evidence that supports this approach</w:t>
            </w:r>
          </w:p>
        </w:tc>
        <w:tc>
          <w:tcPr>
            <w:tcW w:w="2547"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Challenge number(s) addressed</w:t>
            </w:r>
          </w:p>
        </w:tc>
      </w:tr>
      <w:tr w:rsidR="00B01BCF">
        <w:tc>
          <w:tcPr>
            <w:tcW w:w="269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color w:val="0D0D0D"/>
                <w:sz w:val="26"/>
                <w:szCs w:val="26"/>
              </w:rPr>
            </w:pPr>
            <w:r>
              <w:rPr>
                <w:rFonts w:ascii="Calibri" w:eastAsia="Calibri" w:hAnsi="Calibri" w:cs="Calibri"/>
                <w:sz w:val="24"/>
                <w:szCs w:val="24"/>
              </w:rPr>
              <w:lastRenderedPageBreak/>
              <w:t xml:space="preserve">Interventions </w:t>
            </w:r>
          </w:p>
        </w:tc>
        <w:tc>
          <w:tcPr>
            <w:tcW w:w="4259"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shd w:val="clear" w:color="auto" w:fill="FFFFFF"/>
              <w:spacing w:before="240" w:after="280" w:line="276" w:lineRule="auto"/>
              <w:rPr>
                <w:rFonts w:ascii="Tahoma" w:eastAsia="Tahoma" w:hAnsi="Tahoma" w:cs="Tahoma"/>
                <w:sz w:val="22"/>
                <w:szCs w:val="22"/>
              </w:rPr>
            </w:pPr>
            <w:r>
              <w:rPr>
                <w:rFonts w:ascii="Tahoma" w:eastAsia="Tahoma" w:hAnsi="Tahoma" w:cs="Tahoma"/>
                <w:sz w:val="22"/>
                <w:szCs w:val="22"/>
              </w:rPr>
              <w:t>Along with the expectations of EEF, Soundwell Academy uses structured interventions with reliable evidence of effectiveness. Soundwell Academy replicate some of the proven common elements of effective interventions, such as:</w:t>
            </w:r>
          </w:p>
          <w:p w:rsidR="00B01BCF" w:rsidRDefault="00D2142B">
            <w:pPr>
              <w:pBdr>
                <w:left w:val="none" w:sz="0" w:space="14" w:color="auto"/>
              </w:pBdr>
              <w:shd w:val="clear" w:color="auto" w:fill="FFFFFF"/>
              <w:spacing w:before="140" w:after="140" w:line="276" w:lineRule="auto"/>
              <w:ind w:left="360"/>
              <w:rPr>
                <w:rFonts w:ascii="Tahoma" w:eastAsia="Tahoma" w:hAnsi="Tahoma" w:cs="Tahoma"/>
                <w:sz w:val="22"/>
                <w:szCs w:val="22"/>
              </w:rPr>
            </w:pPr>
            <w:r>
              <w:rPr>
                <w:rFonts w:ascii="Calibri" w:eastAsia="Calibri" w:hAnsi="Calibri" w:cs="Calibri"/>
              </w:rPr>
              <w:t>·</w:t>
            </w:r>
            <w:r>
              <w:rPr>
                <w:rFonts w:ascii="Times New Roman" w:eastAsia="Times New Roman" w:hAnsi="Times New Roman" w:cs="Times New Roman"/>
                <w:sz w:val="14"/>
                <w:szCs w:val="14"/>
              </w:rPr>
              <w:t xml:space="preserve">        </w:t>
            </w:r>
            <w:r>
              <w:rPr>
                <w:rFonts w:ascii="Tahoma" w:eastAsia="Tahoma" w:hAnsi="Tahoma" w:cs="Tahoma"/>
                <w:sz w:val="22"/>
                <w:szCs w:val="22"/>
              </w:rPr>
              <w:t>-Sessions are often br</w:t>
            </w:r>
            <w:r>
              <w:rPr>
                <w:rFonts w:ascii="Tahoma" w:eastAsia="Tahoma" w:hAnsi="Tahoma" w:cs="Tahoma"/>
                <w:sz w:val="22"/>
                <w:szCs w:val="22"/>
              </w:rPr>
              <w:t>ief (39 mins), occur regularly (1 – 3 times per week) and are maintained over a sustained period (8 – 20 weeks).</w:t>
            </w:r>
          </w:p>
          <w:p w:rsidR="00B01BCF" w:rsidRDefault="00D2142B">
            <w:pPr>
              <w:pBdr>
                <w:left w:val="none" w:sz="0" w:space="14" w:color="auto"/>
              </w:pBdr>
              <w:shd w:val="clear" w:color="auto" w:fill="FFFFFF"/>
              <w:spacing w:before="140" w:after="140" w:line="276" w:lineRule="auto"/>
              <w:ind w:left="360"/>
              <w:rPr>
                <w:rFonts w:ascii="Tahoma" w:eastAsia="Tahoma" w:hAnsi="Tahoma" w:cs="Tahoma"/>
                <w:sz w:val="22"/>
                <w:szCs w:val="22"/>
              </w:rPr>
            </w:pPr>
            <w:r>
              <w:rPr>
                <w:rFonts w:ascii="Calibri" w:eastAsia="Calibri" w:hAnsi="Calibri" w:cs="Calibri"/>
              </w:rPr>
              <w:t>·</w:t>
            </w:r>
            <w:r>
              <w:rPr>
                <w:rFonts w:ascii="Times New Roman" w:eastAsia="Times New Roman" w:hAnsi="Times New Roman" w:cs="Times New Roman"/>
                <w:sz w:val="14"/>
                <w:szCs w:val="14"/>
              </w:rPr>
              <w:t xml:space="preserve">        </w:t>
            </w:r>
            <w:r>
              <w:rPr>
                <w:rFonts w:ascii="Tahoma" w:eastAsia="Tahoma" w:hAnsi="Tahoma" w:cs="Tahoma"/>
                <w:sz w:val="22"/>
                <w:szCs w:val="22"/>
              </w:rPr>
              <w:t>-Careful timetabling is in place to enable this consistent delivery;</w:t>
            </w:r>
          </w:p>
          <w:p w:rsidR="00B01BCF" w:rsidRDefault="00D2142B">
            <w:pPr>
              <w:pBdr>
                <w:left w:val="none" w:sz="0" w:space="14" w:color="auto"/>
              </w:pBdr>
              <w:shd w:val="clear" w:color="auto" w:fill="FFFFFF"/>
              <w:spacing w:before="140" w:after="140" w:line="276" w:lineRule="auto"/>
              <w:ind w:left="360"/>
              <w:rPr>
                <w:rFonts w:ascii="Tahoma" w:eastAsia="Tahoma" w:hAnsi="Tahoma" w:cs="Tahoma"/>
                <w:sz w:val="22"/>
                <w:szCs w:val="22"/>
              </w:rPr>
            </w:pPr>
            <w:r>
              <w:rPr>
                <w:rFonts w:ascii="Calibri" w:eastAsia="Calibri" w:hAnsi="Calibri" w:cs="Calibri"/>
              </w:rPr>
              <w:t>·</w:t>
            </w:r>
            <w:r>
              <w:rPr>
                <w:rFonts w:ascii="Times New Roman" w:eastAsia="Times New Roman" w:hAnsi="Times New Roman" w:cs="Times New Roman"/>
                <w:sz w:val="14"/>
                <w:szCs w:val="14"/>
              </w:rPr>
              <w:t xml:space="preserve">        </w:t>
            </w:r>
            <w:r>
              <w:rPr>
                <w:rFonts w:ascii="Tahoma" w:eastAsia="Tahoma" w:hAnsi="Tahoma" w:cs="Tahoma"/>
                <w:sz w:val="22"/>
                <w:szCs w:val="22"/>
              </w:rPr>
              <w:t>-HLTAs receive extensive training from experienced train</w:t>
            </w:r>
            <w:r>
              <w:rPr>
                <w:rFonts w:ascii="Tahoma" w:eastAsia="Tahoma" w:hAnsi="Tahoma" w:cs="Tahoma"/>
                <w:sz w:val="22"/>
                <w:szCs w:val="22"/>
              </w:rPr>
              <w:t>ers and/​or teachers (5 – 30 hours per intervention);</w:t>
            </w:r>
          </w:p>
          <w:p w:rsidR="00B01BCF" w:rsidRDefault="00D2142B">
            <w:pPr>
              <w:pBdr>
                <w:left w:val="none" w:sz="0" w:space="14" w:color="auto"/>
              </w:pBdr>
              <w:shd w:val="clear" w:color="auto" w:fill="FFFFFF"/>
              <w:spacing w:before="140" w:after="140" w:line="276" w:lineRule="auto"/>
              <w:ind w:left="360"/>
              <w:rPr>
                <w:rFonts w:ascii="Tahoma" w:eastAsia="Tahoma" w:hAnsi="Tahoma" w:cs="Tahoma"/>
                <w:sz w:val="22"/>
                <w:szCs w:val="22"/>
              </w:rPr>
            </w:pPr>
            <w:r>
              <w:rPr>
                <w:rFonts w:ascii="Calibri" w:eastAsia="Calibri" w:hAnsi="Calibri" w:cs="Calibri"/>
              </w:rPr>
              <w:t>·</w:t>
            </w:r>
            <w:r>
              <w:rPr>
                <w:rFonts w:ascii="Times New Roman" w:eastAsia="Times New Roman" w:hAnsi="Times New Roman" w:cs="Times New Roman"/>
                <w:sz w:val="14"/>
                <w:szCs w:val="14"/>
              </w:rPr>
              <w:t xml:space="preserve">        </w:t>
            </w:r>
            <w:r>
              <w:rPr>
                <w:rFonts w:ascii="Tahoma" w:eastAsia="Tahoma" w:hAnsi="Tahoma" w:cs="Tahoma"/>
                <w:sz w:val="22"/>
                <w:szCs w:val="22"/>
              </w:rPr>
              <w:t>-The intervention has structured supporting resources and lesson plans, with clear objectives;</w:t>
            </w:r>
          </w:p>
          <w:p w:rsidR="00B01BCF" w:rsidRDefault="00B01BCF">
            <w:pPr>
              <w:pBdr>
                <w:top w:val="nil"/>
                <w:left w:val="nil"/>
                <w:bottom w:val="nil"/>
                <w:right w:val="nil"/>
                <w:between w:val="nil"/>
              </w:pBdr>
              <w:spacing w:before="60" w:after="60"/>
              <w:ind w:left="57" w:right="57"/>
              <w:rPr>
                <w:rFonts w:ascii="Calibri" w:eastAsia="Calibri" w:hAnsi="Calibri" w:cs="Calibri"/>
                <w:sz w:val="22"/>
                <w:szCs w:val="22"/>
              </w:rPr>
            </w:pP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00000"/>
                <w:sz w:val="22"/>
                <w:szCs w:val="22"/>
              </w:rPr>
            </w:pPr>
            <w:r>
              <w:rPr>
                <w:rFonts w:ascii="Calibri" w:eastAsia="Calibri" w:hAnsi="Calibri" w:cs="Calibri"/>
                <w:sz w:val="22"/>
                <w:szCs w:val="22"/>
              </w:rPr>
              <w:t>1, 2, 3</w:t>
            </w:r>
          </w:p>
        </w:tc>
      </w:tr>
      <w:tr w:rsidR="00B01BCF">
        <w:tc>
          <w:tcPr>
            <w:tcW w:w="269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00000"/>
                <w:sz w:val="24"/>
                <w:szCs w:val="24"/>
              </w:rPr>
            </w:pPr>
            <w:r>
              <w:rPr>
                <w:rFonts w:ascii="Calibri" w:eastAsia="Calibri" w:hAnsi="Calibri" w:cs="Calibri"/>
                <w:sz w:val="24"/>
                <w:szCs w:val="24"/>
              </w:rPr>
              <w:t xml:space="preserve">Subscription to online learning platforms </w:t>
            </w:r>
          </w:p>
        </w:tc>
        <w:tc>
          <w:tcPr>
            <w:tcW w:w="4259"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00000"/>
                <w:sz w:val="24"/>
                <w:szCs w:val="24"/>
              </w:rPr>
            </w:pPr>
            <w:r>
              <w:rPr>
                <w:rFonts w:ascii="Calibri" w:eastAsia="Calibri" w:hAnsi="Calibri" w:cs="Calibri"/>
                <w:sz w:val="24"/>
                <w:szCs w:val="24"/>
              </w:rPr>
              <w:t xml:space="preserve">In 2011, The Babson Survey Research Group, in the USA, looked at research carried out into online learning and found that this has been shown to be an effective method of learning since the 1990’s. </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00000"/>
                <w:sz w:val="22"/>
                <w:szCs w:val="22"/>
              </w:rPr>
            </w:pPr>
            <w:r>
              <w:rPr>
                <w:rFonts w:ascii="Calibri" w:eastAsia="Calibri" w:hAnsi="Calibri" w:cs="Calibri"/>
                <w:sz w:val="22"/>
                <w:szCs w:val="22"/>
              </w:rPr>
              <w:t>1, 2, 3, 4</w:t>
            </w:r>
          </w:p>
        </w:tc>
      </w:tr>
    </w:tbl>
    <w:p w:rsidR="00B01BCF" w:rsidRDefault="00B01BCF">
      <w:pPr>
        <w:pBdr>
          <w:top w:val="nil"/>
          <w:left w:val="nil"/>
          <w:bottom w:val="nil"/>
          <w:right w:val="nil"/>
          <w:between w:val="nil"/>
        </w:pBdr>
        <w:spacing w:line="288" w:lineRule="auto"/>
        <w:rPr>
          <w:rFonts w:ascii="Calibri" w:eastAsia="Calibri" w:hAnsi="Calibri" w:cs="Calibri"/>
          <w:b/>
          <w:color w:val="000000"/>
          <w:sz w:val="28"/>
          <w:szCs w:val="28"/>
        </w:rPr>
      </w:pPr>
    </w:p>
    <w:p w:rsidR="00B01BCF" w:rsidRDefault="00D2142B">
      <w:pPr>
        <w:pBdr>
          <w:top w:val="nil"/>
          <w:left w:val="nil"/>
          <w:bottom w:val="nil"/>
          <w:right w:val="nil"/>
          <w:between w:val="nil"/>
        </w:pBdr>
        <w:spacing w:after="240" w:line="288" w:lineRule="auto"/>
        <w:rPr>
          <w:rFonts w:ascii="Calibri" w:eastAsia="Calibri" w:hAnsi="Calibri" w:cs="Calibri"/>
          <w:b/>
          <w:color w:val="000000"/>
          <w:sz w:val="28"/>
          <w:szCs w:val="28"/>
        </w:rPr>
      </w:pPr>
      <w:r>
        <w:rPr>
          <w:rFonts w:ascii="Calibri" w:eastAsia="Calibri" w:hAnsi="Calibri" w:cs="Calibri"/>
          <w:b/>
          <w:color w:val="000000"/>
          <w:sz w:val="28"/>
          <w:szCs w:val="28"/>
        </w:rPr>
        <w:t>Wider strategies (for example, related to attendance, behaviour, wellbeing)</w:t>
      </w:r>
    </w:p>
    <w:p w:rsidR="00B01BCF" w:rsidRDefault="00D2142B">
      <w:pPr>
        <w:pBdr>
          <w:top w:val="nil"/>
          <w:left w:val="nil"/>
          <w:bottom w:val="nil"/>
          <w:right w:val="nil"/>
          <w:between w:val="nil"/>
        </w:pBdr>
        <w:spacing w:before="240" w:after="120" w:line="288" w:lineRule="auto"/>
        <w:rPr>
          <w:color w:val="0D0D0D"/>
          <w:sz w:val="24"/>
          <w:szCs w:val="24"/>
        </w:rPr>
      </w:pPr>
      <w:r>
        <w:rPr>
          <w:rFonts w:ascii="Calibri" w:eastAsia="Calibri" w:hAnsi="Calibri" w:cs="Calibri"/>
          <w:color w:val="000000"/>
          <w:sz w:val="24"/>
          <w:szCs w:val="24"/>
        </w:rPr>
        <w:t xml:space="preserve">Budgeted cost: £ </w:t>
      </w:r>
      <w:r>
        <w:rPr>
          <w:rFonts w:ascii="Calibri" w:eastAsia="Calibri" w:hAnsi="Calibri" w:cs="Calibri"/>
          <w:i/>
          <w:sz w:val="24"/>
          <w:szCs w:val="24"/>
        </w:rPr>
        <w:t>2</w:t>
      </w:r>
      <w:r w:rsidR="003B13F9">
        <w:rPr>
          <w:rFonts w:ascii="Calibri" w:eastAsia="Calibri" w:hAnsi="Calibri" w:cs="Calibri"/>
          <w:i/>
          <w:sz w:val="24"/>
          <w:szCs w:val="24"/>
        </w:rPr>
        <w:t>2</w:t>
      </w:r>
      <w:r>
        <w:rPr>
          <w:rFonts w:ascii="Calibri" w:eastAsia="Calibri" w:hAnsi="Calibri" w:cs="Calibri"/>
          <w:i/>
          <w:sz w:val="24"/>
          <w:szCs w:val="24"/>
        </w:rPr>
        <w:t>,</w:t>
      </w:r>
      <w:r w:rsidR="003B13F9">
        <w:rPr>
          <w:rFonts w:ascii="Calibri" w:eastAsia="Calibri" w:hAnsi="Calibri" w:cs="Calibri"/>
          <w:i/>
          <w:sz w:val="24"/>
          <w:szCs w:val="24"/>
        </w:rPr>
        <w:t>065</w:t>
      </w:r>
    </w:p>
    <w:tbl>
      <w:tblPr>
        <w:tblStyle w:val="a6"/>
        <w:tblW w:w="9496"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0"/>
        <w:gridCol w:w="4259"/>
        <w:gridCol w:w="2547"/>
      </w:tblGrid>
      <w:tr w:rsidR="00B01BCF">
        <w:tc>
          <w:tcPr>
            <w:tcW w:w="2690"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Activity</w:t>
            </w:r>
          </w:p>
        </w:tc>
        <w:tc>
          <w:tcPr>
            <w:tcW w:w="4259"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Evidence that supports this approach</w:t>
            </w:r>
          </w:p>
        </w:tc>
        <w:tc>
          <w:tcPr>
            <w:tcW w:w="2547"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Challenge number(s) addressed</w:t>
            </w:r>
          </w:p>
        </w:tc>
      </w:tr>
      <w:tr w:rsidR="00B01BCF">
        <w:tc>
          <w:tcPr>
            <w:tcW w:w="269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D0D0D"/>
                <w:sz w:val="24"/>
                <w:szCs w:val="24"/>
              </w:rPr>
            </w:pPr>
            <w:r>
              <w:rPr>
                <w:rFonts w:ascii="Calibri" w:eastAsia="Calibri" w:hAnsi="Calibri" w:cs="Calibri"/>
                <w:color w:val="0D0D0D"/>
                <w:sz w:val="24"/>
                <w:szCs w:val="24"/>
              </w:rPr>
              <w:t xml:space="preserve">Mentoring </w:t>
            </w:r>
          </w:p>
        </w:tc>
        <w:tc>
          <w:tcPr>
            <w:tcW w:w="4259"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sz w:val="18"/>
                <w:szCs w:val="18"/>
              </w:rPr>
            </w:pPr>
            <w:r>
              <w:rPr>
                <w:rFonts w:ascii="Calibri" w:eastAsia="Calibri" w:hAnsi="Calibri" w:cs="Calibri"/>
                <w:sz w:val="24"/>
                <w:szCs w:val="24"/>
              </w:rPr>
              <w:t xml:space="preserve">EEF reports that </w:t>
            </w:r>
            <w:proofErr w:type="gramStart"/>
            <w:r>
              <w:rPr>
                <w:rFonts w:ascii="Calibri" w:eastAsia="Calibri" w:hAnsi="Calibri" w:cs="Calibri"/>
                <w:sz w:val="24"/>
                <w:szCs w:val="24"/>
              </w:rPr>
              <w:t xml:space="preserve">mentoring </w:t>
            </w:r>
            <w:r>
              <w:rPr>
                <w:rFonts w:ascii="Calibri" w:eastAsia="Calibri" w:hAnsi="Calibri" w:cs="Calibri"/>
                <w:sz w:val="24"/>
                <w:szCs w:val="24"/>
                <w:highlight w:val="white"/>
              </w:rPr>
              <w:t xml:space="preserve"> “</w:t>
            </w:r>
            <w:proofErr w:type="gramEnd"/>
            <w:r>
              <w:rPr>
                <w:rFonts w:ascii="Calibri" w:eastAsia="Calibri" w:hAnsi="Calibri" w:cs="Calibri"/>
                <w:sz w:val="24"/>
                <w:szCs w:val="24"/>
                <w:highlight w:val="white"/>
              </w:rPr>
              <w:t>is possible to target the approach to pupils from disadvantaged backgrounds and those with particular needs.”</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00000"/>
                <w:sz w:val="24"/>
                <w:szCs w:val="24"/>
              </w:rPr>
            </w:pPr>
            <w:r>
              <w:rPr>
                <w:rFonts w:ascii="Calibri" w:eastAsia="Calibri" w:hAnsi="Calibri" w:cs="Calibri"/>
                <w:sz w:val="24"/>
                <w:szCs w:val="24"/>
              </w:rPr>
              <w:t>1, 2, 3, 4</w:t>
            </w:r>
          </w:p>
        </w:tc>
      </w:tr>
      <w:tr w:rsidR="00B01BCF">
        <w:tc>
          <w:tcPr>
            <w:tcW w:w="269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00000"/>
                <w:sz w:val="24"/>
                <w:szCs w:val="24"/>
              </w:rPr>
            </w:pPr>
            <w:r>
              <w:rPr>
                <w:rFonts w:ascii="Calibri" w:eastAsia="Calibri" w:hAnsi="Calibri" w:cs="Calibri"/>
                <w:sz w:val="24"/>
                <w:szCs w:val="24"/>
              </w:rPr>
              <w:t xml:space="preserve">Zones of Regulation intervention </w:t>
            </w:r>
          </w:p>
        </w:tc>
        <w:tc>
          <w:tcPr>
            <w:tcW w:w="4259"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00000"/>
                <w:sz w:val="24"/>
                <w:szCs w:val="24"/>
              </w:rPr>
            </w:pPr>
            <w:r>
              <w:rPr>
                <w:rFonts w:ascii="Calibri" w:eastAsia="Calibri" w:hAnsi="Calibri" w:cs="Calibri"/>
                <w:sz w:val="24"/>
                <w:szCs w:val="24"/>
              </w:rPr>
              <w:t>EEF report “Improving Behaviour in Schools” Priority 2 “Teach learning behaviours alongside managing misbehaviour” is a proactive measure to support the development of the pupils understanding of behaviour</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color w:val="000000"/>
                <w:sz w:val="24"/>
                <w:szCs w:val="24"/>
              </w:rPr>
            </w:pPr>
            <w:r>
              <w:rPr>
                <w:rFonts w:ascii="Calibri" w:eastAsia="Calibri" w:hAnsi="Calibri" w:cs="Calibri"/>
                <w:sz w:val="24"/>
                <w:szCs w:val="24"/>
              </w:rPr>
              <w:t>1, 2, 3</w:t>
            </w:r>
          </w:p>
        </w:tc>
      </w:tr>
      <w:tr w:rsidR="00B01BCF">
        <w:tc>
          <w:tcPr>
            <w:tcW w:w="26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B01BCF" w:rsidRDefault="00D2142B">
            <w:pPr>
              <w:spacing w:before="240" w:after="240"/>
              <w:rPr>
                <w:rFonts w:ascii="Calibri" w:eastAsia="Calibri" w:hAnsi="Calibri" w:cs="Calibri"/>
                <w:sz w:val="24"/>
                <w:szCs w:val="24"/>
              </w:rPr>
            </w:pPr>
            <w:r>
              <w:rPr>
                <w:rFonts w:ascii="Calibri" w:eastAsia="Calibri" w:hAnsi="Calibri" w:cs="Calibri"/>
                <w:sz w:val="24"/>
                <w:szCs w:val="24"/>
              </w:rPr>
              <w:lastRenderedPageBreak/>
              <w:t>Breakfast Club</w:t>
            </w:r>
          </w:p>
        </w:tc>
        <w:tc>
          <w:tcPr>
            <w:tcW w:w="4259"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B01BCF" w:rsidRDefault="00D2142B">
            <w:pPr>
              <w:spacing w:before="240" w:after="240"/>
              <w:rPr>
                <w:rFonts w:ascii="Calibri" w:eastAsia="Calibri" w:hAnsi="Calibri" w:cs="Calibri"/>
                <w:sz w:val="24"/>
                <w:szCs w:val="24"/>
              </w:rPr>
            </w:pPr>
            <w:r>
              <w:rPr>
                <w:rFonts w:ascii="Calibri" w:eastAsia="Calibri" w:hAnsi="Calibri" w:cs="Calibri"/>
                <w:sz w:val="24"/>
                <w:szCs w:val="24"/>
              </w:rPr>
              <w:t xml:space="preserve">EEF research provides the </w:t>
            </w:r>
            <w:r>
              <w:rPr>
                <w:rFonts w:ascii="Calibri" w:eastAsia="Calibri" w:hAnsi="Calibri" w:cs="Calibri"/>
                <w:sz w:val="24"/>
                <w:szCs w:val="24"/>
              </w:rPr>
              <w:t>evidence that children in disadvantaged schools with breakfast made on average 2 months’ additional progress in core subjects compared to schools with no breakfast provision.</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sz w:val="24"/>
                <w:szCs w:val="24"/>
              </w:rPr>
            </w:pPr>
            <w:r>
              <w:rPr>
                <w:rFonts w:ascii="Calibri" w:eastAsia="Calibri" w:hAnsi="Calibri" w:cs="Calibri"/>
                <w:sz w:val="24"/>
                <w:szCs w:val="24"/>
              </w:rPr>
              <w:t>1, 2, 3, 4</w:t>
            </w:r>
          </w:p>
        </w:tc>
      </w:tr>
      <w:tr w:rsidR="00B01BCF">
        <w:tc>
          <w:tcPr>
            <w:tcW w:w="26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B01BCF" w:rsidRDefault="00D2142B">
            <w:pPr>
              <w:spacing w:before="60" w:after="60" w:line="276" w:lineRule="auto"/>
              <w:ind w:left="60" w:right="60"/>
              <w:rPr>
                <w:rFonts w:ascii="Calibri" w:eastAsia="Calibri" w:hAnsi="Calibri" w:cs="Calibri"/>
                <w:sz w:val="24"/>
                <w:szCs w:val="24"/>
              </w:rPr>
            </w:pPr>
            <w:r>
              <w:rPr>
                <w:rFonts w:ascii="Calibri" w:eastAsia="Calibri" w:hAnsi="Calibri" w:cs="Calibri"/>
                <w:sz w:val="24"/>
                <w:szCs w:val="24"/>
              </w:rPr>
              <w:t>Uniform</w:t>
            </w:r>
          </w:p>
        </w:tc>
        <w:tc>
          <w:tcPr>
            <w:tcW w:w="4259"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B01BCF" w:rsidRDefault="00D2142B">
            <w:pPr>
              <w:spacing w:before="240" w:after="240"/>
              <w:rPr>
                <w:rFonts w:ascii="Calibri" w:eastAsia="Calibri" w:hAnsi="Calibri" w:cs="Calibri"/>
                <w:sz w:val="24"/>
                <w:szCs w:val="24"/>
              </w:rPr>
            </w:pPr>
            <w:r>
              <w:rPr>
                <w:rFonts w:ascii="Calibri" w:eastAsia="Calibri" w:hAnsi="Calibri" w:cs="Calibri"/>
                <w:sz w:val="24"/>
                <w:szCs w:val="24"/>
              </w:rPr>
              <w:t>EEF states that although evidence is currently weak, wearing a uniform includes the development of a school ethos and the improvement of behaviour. This is an important pre-condition that could allow for more learning and motivation to take place.</w:t>
            </w:r>
          </w:p>
          <w:p w:rsidR="00B01BCF" w:rsidRDefault="00D2142B">
            <w:pPr>
              <w:spacing w:before="240" w:after="240"/>
              <w:rPr>
                <w:rFonts w:ascii="Calibri" w:eastAsia="Calibri" w:hAnsi="Calibri" w:cs="Calibri"/>
                <w:sz w:val="24"/>
                <w:szCs w:val="24"/>
              </w:rPr>
            </w:pPr>
            <w:r>
              <w:rPr>
                <w:rFonts w:ascii="Calibri" w:eastAsia="Calibri" w:hAnsi="Calibri" w:cs="Calibri"/>
                <w:sz w:val="24"/>
                <w:szCs w:val="24"/>
              </w:rPr>
              <w:t>Pupils f</w:t>
            </w:r>
            <w:r>
              <w:rPr>
                <w:rFonts w:ascii="Calibri" w:eastAsia="Calibri" w:hAnsi="Calibri" w:cs="Calibri"/>
                <w:sz w:val="24"/>
                <w:szCs w:val="24"/>
              </w:rPr>
              <w:t>rom lower socioeconomic households are less likely to be able to afford the cost of school uniforms.</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rFonts w:ascii="Calibri" w:eastAsia="Calibri" w:hAnsi="Calibri" w:cs="Calibri"/>
                <w:sz w:val="24"/>
                <w:szCs w:val="24"/>
              </w:rPr>
            </w:pPr>
            <w:r>
              <w:rPr>
                <w:rFonts w:ascii="Calibri" w:eastAsia="Calibri" w:hAnsi="Calibri" w:cs="Calibri"/>
                <w:sz w:val="24"/>
                <w:szCs w:val="24"/>
              </w:rPr>
              <w:t>3, 4</w:t>
            </w:r>
          </w:p>
        </w:tc>
      </w:tr>
      <w:tr w:rsidR="00B01BCF">
        <w:tc>
          <w:tcPr>
            <w:tcW w:w="26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B01BCF" w:rsidRDefault="00D2142B">
            <w:pPr>
              <w:spacing w:before="240" w:after="240" w:line="276" w:lineRule="auto"/>
              <w:rPr>
                <w:rFonts w:ascii="Calibri" w:eastAsia="Calibri" w:hAnsi="Calibri" w:cs="Calibri"/>
                <w:color w:val="0D0D0D"/>
                <w:sz w:val="24"/>
                <w:szCs w:val="24"/>
              </w:rPr>
            </w:pPr>
            <w:r>
              <w:rPr>
                <w:rFonts w:ascii="Calibri" w:eastAsia="Calibri" w:hAnsi="Calibri" w:cs="Calibri"/>
                <w:color w:val="0D0D0D"/>
                <w:sz w:val="24"/>
                <w:szCs w:val="24"/>
              </w:rPr>
              <w:t>Enrichment Trips</w:t>
            </w:r>
          </w:p>
        </w:tc>
        <w:tc>
          <w:tcPr>
            <w:tcW w:w="4259" w:type="dxa"/>
            <w:tcBorders>
              <w:top w:val="single" w:sz="5" w:space="0" w:color="000000"/>
              <w:left w:val="nil"/>
              <w:bottom w:val="single" w:sz="5" w:space="0" w:color="000000"/>
              <w:right w:val="single" w:sz="5" w:space="0" w:color="000000"/>
            </w:tcBorders>
            <w:shd w:val="clear" w:color="auto" w:fill="FFFFFF"/>
            <w:tcMar>
              <w:top w:w="0" w:type="dxa"/>
              <w:left w:w="100" w:type="dxa"/>
              <w:bottom w:w="0" w:type="dxa"/>
              <w:right w:w="100" w:type="dxa"/>
            </w:tcMar>
          </w:tcPr>
          <w:p w:rsidR="00B01BCF" w:rsidRDefault="00D2142B">
            <w:pPr>
              <w:spacing w:before="240" w:after="240"/>
              <w:rPr>
                <w:rFonts w:ascii="Calibri" w:eastAsia="Calibri" w:hAnsi="Calibri" w:cs="Calibri"/>
                <w:sz w:val="24"/>
                <w:szCs w:val="24"/>
              </w:rPr>
            </w:pPr>
            <w:r>
              <w:rPr>
                <w:rFonts w:ascii="Calibri" w:eastAsia="Calibri" w:hAnsi="Calibri" w:cs="Calibri"/>
                <w:sz w:val="24"/>
                <w:szCs w:val="24"/>
              </w:rPr>
              <w:t xml:space="preserve">Ensure that pupils have equal access to all trips. </w:t>
            </w:r>
          </w:p>
        </w:tc>
        <w:tc>
          <w:tcPr>
            <w:tcW w:w="2547"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B01BCF" w:rsidRDefault="00D2142B">
            <w:pPr>
              <w:spacing w:before="240" w:after="240"/>
              <w:rPr>
                <w:rFonts w:ascii="Calibri" w:eastAsia="Calibri" w:hAnsi="Calibri" w:cs="Calibri"/>
                <w:color w:val="0D0D0D"/>
                <w:sz w:val="24"/>
                <w:szCs w:val="24"/>
              </w:rPr>
            </w:pPr>
            <w:r>
              <w:rPr>
                <w:rFonts w:ascii="Calibri" w:eastAsia="Calibri" w:hAnsi="Calibri" w:cs="Calibri"/>
                <w:color w:val="0D0D0D"/>
                <w:sz w:val="24"/>
                <w:szCs w:val="24"/>
              </w:rPr>
              <w:t>1, 2, 3</w:t>
            </w:r>
          </w:p>
        </w:tc>
      </w:tr>
    </w:tbl>
    <w:p w:rsidR="00B01BCF" w:rsidRDefault="00B01BCF">
      <w:pPr>
        <w:pBdr>
          <w:top w:val="nil"/>
          <w:left w:val="nil"/>
          <w:bottom w:val="nil"/>
          <w:right w:val="nil"/>
          <w:between w:val="nil"/>
        </w:pBdr>
        <w:spacing w:before="240" w:line="288" w:lineRule="auto"/>
        <w:rPr>
          <w:rFonts w:ascii="Calibri" w:eastAsia="Calibri" w:hAnsi="Calibri" w:cs="Calibri"/>
          <w:b/>
          <w:color w:val="000000"/>
          <w:sz w:val="28"/>
          <w:szCs w:val="28"/>
        </w:rPr>
      </w:pPr>
    </w:p>
    <w:p w:rsidR="00B01BCF" w:rsidRDefault="00D2142B">
      <w:pPr>
        <w:pBdr>
          <w:top w:val="nil"/>
          <w:left w:val="nil"/>
          <w:bottom w:val="nil"/>
          <w:right w:val="nil"/>
          <w:between w:val="nil"/>
        </w:pBdr>
        <w:spacing w:after="240" w:line="288" w:lineRule="auto"/>
        <w:rPr>
          <w:color w:val="0D0D0D"/>
          <w:sz w:val="24"/>
          <w:szCs w:val="24"/>
        </w:rPr>
      </w:pPr>
      <w:r>
        <w:rPr>
          <w:rFonts w:ascii="Calibri" w:eastAsia="Calibri" w:hAnsi="Calibri" w:cs="Calibri"/>
          <w:b/>
          <w:color w:val="000000"/>
          <w:sz w:val="28"/>
          <w:szCs w:val="28"/>
        </w:rPr>
        <w:t xml:space="preserve">Total budgeted cost: £ </w:t>
      </w:r>
      <w:r w:rsidR="00433BAF" w:rsidRPr="00433BAF">
        <w:rPr>
          <w:color w:val="222222"/>
          <w:sz w:val="28"/>
          <w:shd w:val="clear" w:color="auto" w:fill="FFFFFF"/>
        </w:rPr>
        <w:t>94,065</w:t>
      </w:r>
    </w:p>
    <w:p w:rsidR="00B01BCF" w:rsidRDefault="00D2142B">
      <w:pPr>
        <w:pStyle w:val="Heading1"/>
        <w:numPr>
          <w:ilvl w:val="0"/>
          <w:numId w:val="1"/>
        </w:numPr>
        <w:tabs>
          <w:tab w:val="left" w:pos="0"/>
        </w:tabs>
        <w:rPr>
          <w:rFonts w:ascii="Calibri" w:eastAsia="Calibri" w:hAnsi="Calibri" w:cs="Calibri"/>
          <w:color w:val="000000"/>
        </w:rPr>
      </w:pPr>
      <w:r>
        <w:rPr>
          <w:rFonts w:ascii="Calibri" w:eastAsia="Calibri" w:hAnsi="Calibri" w:cs="Calibri"/>
          <w:color w:val="000000"/>
        </w:rPr>
        <w:lastRenderedPageBreak/>
        <w:t>Part B: Review of outcomes in the previous academic year</w:t>
      </w:r>
    </w:p>
    <w:p w:rsidR="00B01BCF" w:rsidRDefault="00D2142B">
      <w:pPr>
        <w:pStyle w:val="Heading2"/>
        <w:numPr>
          <w:ilvl w:val="1"/>
          <w:numId w:val="1"/>
        </w:numPr>
        <w:tabs>
          <w:tab w:val="left" w:pos="0"/>
        </w:tabs>
        <w:rPr>
          <w:rFonts w:ascii="Calibri" w:eastAsia="Calibri" w:hAnsi="Calibri" w:cs="Calibri"/>
          <w:color w:val="000000"/>
        </w:rPr>
      </w:pPr>
      <w:r>
        <w:rPr>
          <w:rFonts w:ascii="Calibri" w:eastAsia="Calibri" w:hAnsi="Calibri" w:cs="Calibri"/>
          <w:color w:val="000000"/>
        </w:rPr>
        <w:t>Pupil premium strategy outcomes</w:t>
      </w:r>
    </w:p>
    <w:p w:rsidR="00B01BCF" w:rsidRDefault="00D2142B">
      <w:pPr>
        <w:pBdr>
          <w:top w:val="nil"/>
          <w:left w:val="nil"/>
          <w:bottom w:val="nil"/>
          <w:right w:val="nil"/>
          <w:between w:val="nil"/>
        </w:pBdr>
        <w:spacing w:after="240" w:line="288" w:lineRule="auto"/>
        <w:rPr>
          <w:rFonts w:ascii="Calibri" w:eastAsia="Calibri" w:hAnsi="Calibri" w:cs="Calibri"/>
          <w:color w:val="000000"/>
          <w:sz w:val="24"/>
          <w:szCs w:val="24"/>
        </w:rPr>
      </w:pPr>
      <w:r>
        <w:rPr>
          <w:rFonts w:ascii="Calibri" w:eastAsia="Calibri" w:hAnsi="Calibri" w:cs="Calibri"/>
          <w:color w:val="000000"/>
          <w:sz w:val="24"/>
          <w:szCs w:val="24"/>
        </w:rPr>
        <w:t>This details the impact that our pupil premium activity had on pupils in the 202</w:t>
      </w:r>
      <w:r>
        <w:rPr>
          <w:rFonts w:ascii="Calibri" w:eastAsia="Calibri" w:hAnsi="Calibri" w:cs="Calibri"/>
          <w:sz w:val="24"/>
          <w:szCs w:val="24"/>
        </w:rPr>
        <w:t>3</w:t>
      </w:r>
      <w:r>
        <w:rPr>
          <w:rFonts w:ascii="Calibri" w:eastAsia="Calibri" w:hAnsi="Calibri" w:cs="Calibri"/>
          <w:color w:val="000000"/>
          <w:sz w:val="24"/>
          <w:szCs w:val="24"/>
        </w:rPr>
        <w:t xml:space="preserve"> to 202</w:t>
      </w:r>
      <w:r>
        <w:rPr>
          <w:rFonts w:ascii="Calibri" w:eastAsia="Calibri" w:hAnsi="Calibri" w:cs="Calibri"/>
          <w:sz w:val="24"/>
          <w:szCs w:val="24"/>
        </w:rPr>
        <w:t>4</w:t>
      </w:r>
      <w:r>
        <w:rPr>
          <w:rFonts w:ascii="Calibri" w:eastAsia="Calibri" w:hAnsi="Calibri" w:cs="Calibri"/>
          <w:color w:val="000000"/>
          <w:sz w:val="24"/>
          <w:szCs w:val="24"/>
        </w:rPr>
        <w:t xml:space="preserve"> academic year. </w:t>
      </w:r>
    </w:p>
    <w:tbl>
      <w:tblPr>
        <w:tblStyle w:val="a7"/>
        <w:tblW w:w="9493"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3"/>
      </w:tblGrid>
      <w:tr w:rsidR="00B01BCF">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spacing w:before="240" w:after="240" w:line="288" w:lineRule="auto"/>
              <w:rPr>
                <w:color w:val="0D0D0D"/>
                <w:sz w:val="24"/>
                <w:szCs w:val="24"/>
              </w:rPr>
            </w:pPr>
            <w:r>
              <w:rPr>
                <w:color w:val="0D0D0D"/>
                <w:sz w:val="24"/>
                <w:szCs w:val="24"/>
              </w:rPr>
              <w:t xml:space="preserve">Higher level Learning Facilitators and Learning Facilitators </w:t>
            </w:r>
            <w:r>
              <w:rPr>
                <w:color w:val="0D0D0D"/>
                <w:sz w:val="24"/>
                <w:szCs w:val="24"/>
              </w:rPr>
              <w:t xml:space="preserve">continued to provide intervention and the impact of these individual interventions are shown on the pupils’ provision plans. The impact of these interventions show that pupil progress has been improved, there was a maintained engagement in learning, staff </w:t>
            </w:r>
            <w:r>
              <w:rPr>
                <w:color w:val="0D0D0D"/>
                <w:sz w:val="24"/>
                <w:szCs w:val="24"/>
              </w:rPr>
              <w:t xml:space="preserve">were supported to identify pupil needs and cater for these in the classroom, and pupil resilience was increased. </w:t>
            </w:r>
          </w:p>
          <w:p w:rsidR="00B01BCF" w:rsidRDefault="00B01BCF">
            <w:pPr>
              <w:pBdr>
                <w:top w:val="nil"/>
                <w:left w:val="nil"/>
                <w:bottom w:val="nil"/>
                <w:right w:val="nil"/>
                <w:between w:val="nil"/>
              </w:pBdr>
              <w:spacing w:after="240" w:line="288" w:lineRule="auto"/>
              <w:rPr>
                <w:color w:val="0D0D0D"/>
                <w:sz w:val="24"/>
                <w:szCs w:val="24"/>
              </w:rPr>
            </w:pPr>
          </w:p>
        </w:tc>
      </w:tr>
    </w:tbl>
    <w:p w:rsidR="00B01BCF" w:rsidRDefault="00D2142B">
      <w:pPr>
        <w:pStyle w:val="Heading2"/>
        <w:numPr>
          <w:ilvl w:val="1"/>
          <w:numId w:val="1"/>
        </w:numPr>
        <w:tabs>
          <w:tab w:val="left" w:pos="0"/>
        </w:tabs>
        <w:spacing w:before="600"/>
        <w:rPr>
          <w:rFonts w:ascii="Calibri" w:eastAsia="Calibri" w:hAnsi="Calibri" w:cs="Calibri"/>
          <w:color w:val="000000"/>
        </w:rPr>
      </w:pPr>
      <w:r>
        <w:rPr>
          <w:rFonts w:ascii="Calibri" w:eastAsia="Calibri" w:hAnsi="Calibri" w:cs="Calibri"/>
          <w:color w:val="000000"/>
        </w:rPr>
        <w:t>Externally provided programmes</w:t>
      </w:r>
    </w:p>
    <w:p w:rsidR="00B01BCF" w:rsidRDefault="00D2142B">
      <w:pPr>
        <w:pBdr>
          <w:top w:val="nil"/>
          <w:left w:val="nil"/>
          <w:bottom w:val="nil"/>
          <w:right w:val="nil"/>
          <w:between w:val="nil"/>
        </w:pBdr>
        <w:spacing w:after="240" w:line="288" w:lineRule="auto"/>
        <w:rPr>
          <w:rFonts w:ascii="Calibri" w:eastAsia="Calibri" w:hAnsi="Calibri" w:cs="Calibri"/>
          <w:i/>
          <w:color w:val="000000"/>
          <w:sz w:val="24"/>
          <w:szCs w:val="24"/>
        </w:rPr>
      </w:pPr>
      <w:r>
        <w:rPr>
          <w:rFonts w:ascii="Calibri" w:eastAsia="Calibri" w:hAnsi="Calibri" w:cs="Calibri"/>
          <w:i/>
          <w:color w:val="000000"/>
          <w:sz w:val="24"/>
          <w:szCs w:val="24"/>
        </w:rPr>
        <w:t>Please include the names of any non-DfE programmes that you purchased in the previous academic year. This will help the Department for Education identify which ones are popular in England</w:t>
      </w:r>
    </w:p>
    <w:tbl>
      <w:tblPr>
        <w:tblStyle w:val="a8"/>
        <w:tblW w:w="9496"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6"/>
      </w:tblGrid>
      <w:tr w:rsidR="00B01BCF">
        <w:tc>
          <w:tcPr>
            <w:tcW w:w="4820"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Programme</w:t>
            </w:r>
          </w:p>
        </w:tc>
        <w:tc>
          <w:tcPr>
            <w:tcW w:w="4676"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rFonts w:ascii="Calibri" w:eastAsia="Calibri" w:hAnsi="Calibri" w:cs="Calibri"/>
                <w:b/>
                <w:color w:val="000000"/>
                <w:sz w:val="24"/>
                <w:szCs w:val="24"/>
              </w:rPr>
            </w:pPr>
            <w:r>
              <w:rPr>
                <w:rFonts w:ascii="Calibri" w:eastAsia="Calibri" w:hAnsi="Calibri" w:cs="Calibri"/>
                <w:b/>
                <w:color w:val="000000"/>
                <w:sz w:val="24"/>
                <w:szCs w:val="24"/>
              </w:rPr>
              <w:t>Provider</w:t>
            </w:r>
          </w:p>
        </w:tc>
      </w:tr>
      <w:tr w:rsidR="00B01BCF">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pBdr>
                <w:top w:val="nil"/>
                <w:left w:val="nil"/>
                <w:bottom w:val="nil"/>
                <w:right w:val="nil"/>
                <w:between w:val="nil"/>
              </w:pBdr>
              <w:spacing w:before="60" w:after="60"/>
              <w:ind w:left="57" w:right="57"/>
              <w:rPr>
                <w:rFonts w:ascii="Calibri" w:eastAsia="Calibri" w:hAnsi="Calibri" w:cs="Calibri"/>
                <w:color w:val="000000"/>
                <w:sz w:val="24"/>
                <w:szCs w:val="24"/>
              </w:rPr>
            </w:pP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pBdr>
                <w:top w:val="nil"/>
                <w:left w:val="nil"/>
                <w:bottom w:val="nil"/>
                <w:right w:val="nil"/>
                <w:between w:val="nil"/>
              </w:pBdr>
              <w:spacing w:before="60" w:after="60"/>
              <w:ind w:left="57" w:right="57"/>
              <w:rPr>
                <w:rFonts w:ascii="Calibri" w:eastAsia="Calibri" w:hAnsi="Calibri" w:cs="Calibri"/>
                <w:color w:val="000000"/>
                <w:sz w:val="24"/>
                <w:szCs w:val="24"/>
              </w:rPr>
            </w:pPr>
          </w:p>
        </w:tc>
      </w:tr>
      <w:tr w:rsidR="00B01BCF">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pBdr>
                <w:top w:val="nil"/>
                <w:left w:val="nil"/>
                <w:bottom w:val="nil"/>
                <w:right w:val="nil"/>
                <w:between w:val="nil"/>
              </w:pBdr>
              <w:spacing w:before="60" w:after="60"/>
              <w:ind w:left="57" w:right="57"/>
              <w:rPr>
                <w:rFonts w:ascii="Calibri" w:eastAsia="Calibri" w:hAnsi="Calibri" w:cs="Calibri"/>
                <w:color w:val="000000"/>
                <w:sz w:val="24"/>
                <w:szCs w:val="24"/>
              </w:rPr>
            </w:pP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pBdr>
                <w:top w:val="nil"/>
                <w:left w:val="nil"/>
                <w:bottom w:val="nil"/>
                <w:right w:val="nil"/>
                <w:between w:val="nil"/>
              </w:pBdr>
              <w:spacing w:before="60" w:after="60"/>
              <w:ind w:left="57" w:right="57"/>
              <w:rPr>
                <w:rFonts w:ascii="Calibri" w:eastAsia="Calibri" w:hAnsi="Calibri" w:cs="Calibri"/>
                <w:color w:val="000000"/>
                <w:sz w:val="24"/>
                <w:szCs w:val="24"/>
              </w:rPr>
            </w:pPr>
          </w:p>
        </w:tc>
      </w:tr>
    </w:tbl>
    <w:p w:rsidR="00B01BCF" w:rsidRDefault="00D2142B">
      <w:pPr>
        <w:pStyle w:val="Heading2"/>
        <w:numPr>
          <w:ilvl w:val="1"/>
          <w:numId w:val="1"/>
        </w:numPr>
        <w:tabs>
          <w:tab w:val="left" w:pos="0"/>
        </w:tabs>
        <w:spacing w:before="600"/>
        <w:rPr>
          <w:rFonts w:ascii="Calibri" w:eastAsia="Calibri" w:hAnsi="Calibri" w:cs="Calibri"/>
          <w:color w:val="000000"/>
        </w:rPr>
      </w:pPr>
      <w:r>
        <w:rPr>
          <w:rFonts w:ascii="Calibri" w:eastAsia="Calibri" w:hAnsi="Calibri" w:cs="Calibri"/>
          <w:color w:val="000000"/>
        </w:rPr>
        <w:t>Service pupil premium funding (optional)</w:t>
      </w:r>
    </w:p>
    <w:p w:rsidR="00B01BCF" w:rsidRDefault="00D2142B">
      <w:pPr>
        <w:pBdr>
          <w:top w:val="nil"/>
          <w:left w:val="nil"/>
          <w:bottom w:val="nil"/>
          <w:right w:val="nil"/>
          <w:between w:val="nil"/>
        </w:pBdr>
        <w:spacing w:after="240" w:line="288" w:lineRule="auto"/>
        <w:rPr>
          <w:rFonts w:ascii="Calibri" w:eastAsia="Calibri" w:hAnsi="Calibri" w:cs="Calibri"/>
          <w:i/>
          <w:color w:val="000000"/>
          <w:sz w:val="24"/>
          <w:szCs w:val="24"/>
        </w:rPr>
      </w:pPr>
      <w:r>
        <w:rPr>
          <w:rFonts w:ascii="Calibri" w:eastAsia="Calibri" w:hAnsi="Calibri" w:cs="Calibri"/>
          <w:i/>
          <w:color w:val="000000"/>
          <w:sz w:val="24"/>
          <w:szCs w:val="24"/>
        </w:rPr>
        <w:t xml:space="preserve">For schools that receive this funding, you may wish to provide the following information: </w:t>
      </w:r>
    </w:p>
    <w:tbl>
      <w:tblPr>
        <w:tblStyle w:val="a9"/>
        <w:tblW w:w="9496"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6"/>
      </w:tblGrid>
      <w:tr w:rsidR="00B01BCF">
        <w:tc>
          <w:tcPr>
            <w:tcW w:w="4820"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b/>
                <w:color w:val="0D0D0D"/>
                <w:sz w:val="24"/>
                <w:szCs w:val="24"/>
              </w:rPr>
            </w:pPr>
            <w:r>
              <w:rPr>
                <w:rFonts w:ascii="Calibri" w:eastAsia="Calibri" w:hAnsi="Calibri" w:cs="Calibri"/>
                <w:b/>
                <w:color w:val="000000"/>
                <w:sz w:val="24"/>
                <w:szCs w:val="24"/>
              </w:rPr>
              <w:t>Measure</w:t>
            </w:r>
          </w:p>
        </w:tc>
        <w:tc>
          <w:tcPr>
            <w:tcW w:w="4676" w:type="dxa"/>
            <w:tcBorders>
              <w:top w:val="single" w:sz="4" w:space="0" w:color="000000"/>
              <w:left w:val="single" w:sz="4" w:space="0" w:color="000000"/>
              <w:bottom w:val="single" w:sz="4" w:space="0" w:color="000000"/>
              <w:right w:val="single" w:sz="4" w:space="0" w:color="000000"/>
            </w:tcBorders>
            <w:shd w:val="clear" w:color="auto" w:fill="D8E2E9"/>
          </w:tcPr>
          <w:p w:rsidR="00B01BCF" w:rsidRDefault="00D2142B">
            <w:pPr>
              <w:pBdr>
                <w:top w:val="nil"/>
                <w:left w:val="nil"/>
                <w:bottom w:val="nil"/>
                <w:right w:val="nil"/>
                <w:between w:val="nil"/>
              </w:pBdr>
              <w:spacing w:before="60" w:after="60"/>
              <w:ind w:left="57" w:right="57"/>
              <w:rPr>
                <w:b/>
                <w:color w:val="0D0D0D"/>
                <w:sz w:val="24"/>
                <w:szCs w:val="24"/>
              </w:rPr>
            </w:pPr>
            <w:r>
              <w:rPr>
                <w:rFonts w:ascii="Calibri" w:eastAsia="Calibri" w:hAnsi="Calibri" w:cs="Calibri"/>
                <w:b/>
                <w:color w:val="000000"/>
                <w:sz w:val="24"/>
                <w:szCs w:val="24"/>
              </w:rPr>
              <w:t xml:space="preserve">Details </w:t>
            </w:r>
          </w:p>
        </w:tc>
      </w:tr>
      <w:tr w:rsidR="00B01BCF">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color w:val="0D0D0D"/>
                <w:sz w:val="24"/>
                <w:szCs w:val="24"/>
              </w:rPr>
            </w:pPr>
            <w:r>
              <w:rPr>
                <w:rFonts w:ascii="Calibri" w:eastAsia="Calibri" w:hAnsi="Calibri" w:cs="Calibri"/>
                <w:color w:val="000000"/>
                <w:sz w:val="22"/>
                <w:szCs w:val="22"/>
              </w:rPr>
              <w:t>How did you spend your service pupil premium allocation last academic year?</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pBdr>
                <w:top w:val="nil"/>
                <w:left w:val="nil"/>
                <w:bottom w:val="nil"/>
                <w:right w:val="nil"/>
                <w:between w:val="nil"/>
              </w:pBdr>
              <w:spacing w:before="60" w:after="60"/>
              <w:ind w:left="57" w:right="57"/>
              <w:rPr>
                <w:rFonts w:ascii="Calibri" w:eastAsia="Calibri" w:hAnsi="Calibri" w:cs="Calibri"/>
                <w:color w:val="000000"/>
                <w:sz w:val="24"/>
                <w:szCs w:val="24"/>
              </w:rPr>
            </w:pPr>
          </w:p>
        </w:tc>
      </w:tr>
      <w:tr w:rsidR="00B01BCF">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60" w:after="60"/>
              <w:ind w:left="57" w:right="57"/>
              <w:rPr>
                <w:color w:val="0D0D0D"/>
                <w:sz w:val="24"/>
                <w:szCs w:val="24"/>
              </w:rPr>
            </w:pPr>
            <w:r>
              <w:rPr>
                <w:rFonts w:ascii="Calibri" w:eastAsia="Calibri" w:hAnsi="Calibri" w:cs="Calibri"/>
                <w:color w:val="000000"/>
                <w:sz w:val="22"/>
                <w:szCs w:val="22"/>
              </w:rPr>
              <w:t>What was the impact of that spending on service pupil premium eligible pupils?</w:t>
            </w:r>
          </w:p>
        </w:tc>
        <w:tc>
          <w:tcPr>
            <w:tcW w:w="4676"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B01BCF">
            <w:pPr>
              <w:pBdr>
                <w:top w:val="nil"/>
                <w:left w:val="nil"/>
                <w:bottom w:val="nil"/>
                <w:right w:val="nil"/>
                <w:between w:val="nil"/>
              </w:pBdr>
              <w:spacing w:before="60" w:after="60"/>
              <w:ind w:left="57" w:right="57"/>
              <w:rPr>
                <w:rFonts w:ascii="Calibri" w:eastAsia="Calibri" w:hAnsi="Calibri" w:cs="Calibri"/>
                <w:color w:val="000000"/>
                <w:sz w:val="24"/>
                <w:szCs w:val="24"/>
              </w:rPr>
            </w:pPr>
          </w:p>
        </w:tc>
      </w:tr>
    </w:tbl>
    <w:p w:rsidR="00B01BCF" w:rsidRDefault="00B01BCF">
      <w:pPr>
        <w:pBdr>
          <w:top w:val="nil"/>
          <w:left w:val="nil"/>
          <w:bottom w:val="nil"/>
          <w:right w:val="nil"/>
          <w:between w:val="nil"/>
        </w:pBdr>
        <w:spacing w:after="240" w:line="288" w:lineRule="auto"/>
        <w:rPr>
          <w:rFonts w:ascii="Calibri" w:eastAsia="Calibri" w:hAnsi="Calibri" w:cs="Calibri"/>
          <w:color w:val="000000"/>
          <w:sz w:val="24"/>
          <w:szCs w:val="24"/>
        </w:rPr>
      </w:pPr>
    </w:p>
    <w:p w:rsidR="00B01BCF" w:rsidRDefault="00B01BCF">
      <w:pPr>
        <w:pBdr>
          <w:top w:val="nil"/>
          <w:left w:val="nil"/>
          <w:bottom w:val="nil"/>
          <w:right w:val="nil"/>
          <w:between w:val="nil"/>
        </w:pBdr>
        <w:rPr>
          <w:rFonts w:ascii="Calibri" w:eastAsia="Calibri" w:hAnsi="Calibri" w:cs="Calibri"/>
          <w:color w:val="000000"/>
          <w:sz w:val="24"/>
          <w:szCs w:val="24"/>
        </w:rPr>
      </w:pPr>
    </w:p>
    <w:p w:rsidR="00B01BCF" w:rsidRDefault="00D2142B">
      <w:pPr>
        <w:pStyle w:val="Heading1"/>
        <w:numPr>
          <w:ilvl w:val="0"/>
          <w:numId w:val="1"/>
        </w:numPr>
        <w:tabs>
          <w:tab w:val="left" w:pos="0"/>
        </w:tabs>
        <w:rPr>
          <w:rFonts w:ascii="Calibri" w:eastAsia="Calibri" w:hAnsi="Calibri" w:cs="Calibri"/>
          <w:color w:val="000000"/>
        </w:rPr>
      </w:pPr>
      <w:r>
        <w:rPr>
          <w:rFonts w:ascii="Calibri" w:eastAsia="Calibri" w:hAnsi="Calibri" w:cs="Calibri"/>
          <w:color w:val="000000"/>
        </w:rPr>
        <w:lastRenderedPageBreak/>
        <w:t>Further information (optional)</w:t>
      </w:r>
    </w:p>
    <w:tbl>
      <w:tblPr>
        <w:tblStyle w:val="aa"/>
        <w:tblW w:w="9486"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86"/>
      </w:tblGrid>
      <w:tr w:rsidR="00B01BCF">
        <w:tc>
          <w:tcPr>
            <w:tcW w:w="9486" w:type="dxa"/>
            <w:tcBorders>
              <w:top w:val="single" w:sz="4" w:space="0" w:color="000000"/>
              <w:left w:val="single" w:sz="4" w:space="0" w:color="000000"/>
              <w:bottom w:val="single" w:sz="4" w:space="0" w:color="000000"/>
              <w:right w:val="single" w:sz="4" w:space="0" w:color="000000"/>
            </w:tcBorders>
            <w:shd w:val="clear" w:color="auto" w:fill="auto"/>
          </w:tcPr>
          <w:p w:rsidR="00B01BCF" w:rsidRDefault="00D2142B">
            <w:pPr>
              <w:pBdr>
                <w:top w:val="nil"/>
                <w:left w:val="nil"/>
                <w:bottom w:val="nil"/>
                <w:right w:val="nil"/>
                <w:between w:val="nil"/>
              </w:pBdr>
              <w:spacing w:before="120" w:after="120" w:line="288" w:lineRule="auto"/>
              <w:rPr>
                <w:rFonts w:ascii="Calibri" w:eastAsia="Calibri" w:hAnsi="Calibri" w:cs="Calibri"/>
                <w:i/>
                <w:color w:val="000000"/>
                <w:sz w:val="24"/>
                <w:szCs w:val="24"/>
              </w:rPr>
            </w:pPr>
            <w:r>
              <w:rPr>
                <w:rFonts w:ascii="Calibri" w:eastAsia="Calibri" w:hAnsi="Calibri" w:cs="Calibri"/>
                <w:i/>
                <w:color w:val="000000"/>
                <w:sz w:val="24"/>
                <w:szCs w:val="24"/>
              </w:rPr>
              <w:t xml:space="preserve">Use this space to provide any further information about your pupil premium strategy. For example, about your strategy planning, or other activity that you are implementing to support disadvantaged pupils, that is not dependent on pupil premium or recovery </w:t>
            </w:r>
            <w:r>
              <w:rPr>
                <w:rFonts w:ascii="Calibri" w:eastAsia="Calibri" w:hAnsi="Calibri" w:cs="Calibri"/>
                <w:i/>
                <w:color w:val="000000"/>
                <w:sz w:val="24"/>
                <w:szCs w:val="24"/>
              </w:rPr>
              <w:t>premium funding.</w:t>
            </w:r>
          </w:p>
          <w:p w:rsidR="00B01BCF" w:rsidRDefault="00B01BCF">
            <w:pPr>
              <w:pBdr>
                <w:top w:val="nil"/>
                <w:left w:val="nil"/>
                <w:bottom w:val="nil"/>
                <w:right w:val="nil"/>
                <w:between w:val="nil"/>
              </w:pBdr>
              <w:spacing w:before="120" w:after="120" w:line="288" w:lineRule="auto"/>
              <w:rPr>
                <w:rFonts w:ascii="Calibri" w:eastAsia="Calibri" w:hAnsi="Calibri" w:cs="Calibri"/>
                <w:i/>
                <w:color w:val="000000"/>
                <w:sz w:val="24"/>
                <w:szCs w:val="24"/>
              </w:rPr>
            </w:pPr>
          </w:p>
        </w:tc>
      </w:tr>
    </w:tbl>
    <w:p w:rsidR="00B01BCF" w:rsidRDefault="00B01BCF">
      <w:pPr>
        <w:pBdr>
          <w:top w:val="nil"/>
          <w:left w:val="nil"/>
          <w:bottom w:val="nil"/>
          <w:right w:val="nil"/>
          <w:between w:val="nil"/>
        </w:pBdr>
        <w:spacing w:after="240" w:line="288" w:lineRule="auto"/>
        <w:rPr>
          <w:rFonts w:ascii="Calibri" w:eastAsia="Calibri" w:hAnsi="Calibri" w:cs="Calibri"/>
          <w:color w:val="000000"/>
          <w:sz w:val="24"/>
          <w:szCs w:val="24"/>
        </w:rPr>
      </w:pPr>
    </w:p>
    <w:p w:rsidR="00B01BCF" w:rsidRDefault="00B01BCF">
      <w:pPr>
        <w:pBdr>
          <w:top w:val="nil"/>
          <w:left w:val="nil"/>
          <w:bottom w:val="nil"/>
          <w:right w:val="nil"/>
          <w:between w:val="nil"/>
        </w:pBdr>
        <w:spacing w:after="240" w:line="288" w:lineRule="auto"/>
        <w:rPr>
          <w:rFonts w:ascii="Calibri" w:eastAsia="Calibri" w:hAnsi="Calibri" w:cs="Calibri"/>
          <w:color w:val="000000"/>
          <w:sz w:val="24"/>
          <w:szCs w:val="24"/>
        </w:rPr>
      </w:pPr>
    </w:p>
    <w:sectPr w:rsidR="00B01BCF">
      <w:footerReference w:type="default" r:id="rId7"/>
      <w:headerReference w:type="first" r:id="rId8"/>
      <w:pgSz w:w="11906" w:h="16838"/>
      <w:pgMar w:top="709" w:right="1276" w:bottom="1134" w:left="1134" w:header="0"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142B" w:rsidRDefault="00D2142B">
      <w:r>
        <w:separator/>
      </w:r>
    </w:p>
  </w:endnote>
  <w:endnote w:type="continuationSeparator" w:id="0">
    <w:p w:rsidR="00D2142B" w:rsidRDefault="00D21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1BCF" w:rsidRDefault="00D2142B">
    <w:pPr>
      <w:pBdr>
        <w:top w:val="nil"/>
        <w:left w:val="nil"/>
        <w:bottom w:val="nil"/>
        <w:right w:val="nil"/>
        <w:between w:val="nil"/>
      </w:pBdr>
      <w:tabs>
        <w:tab w:val="center" w:pos="4513"/>
        <w:tab w:val="right" w:pos="9026"/>
      </w:tabs>
      <w:ind w:firstLine="4513"/>
      <w:rPr>
        <w:color w:val="0D0D0D"/>
        <w:sz w:val="24"/>
        <w:szCs w:val="24"/>
      </w:rPr>
    </w:pPr>
    <w:r>
      <w:rPr>
        <w:color w:val="0D0D0D"/>
        <w:sz w:val="24"/>
        <w:szCs w:val="24"/>
      </w:rPr>
      <w:fldChar w:fldCharType="begin"/>
    </w:r>
    <w:r>
      <w:rPr>
        <w:color w:val="0D0D0D"/>
        <w:sz w:val="24"/>
        <w:szCs w:val="24"/>
      </w:rPr>
      <w:instrText>PAGE</w:instrText>
    </w:r>
    <w:r w:rsidR="00966194">
      <w:rPr>
        <w:color w:val="0D0D0D"/>
        <w:sz w:val="24"/>
        <w:szCs w:val="24"/>
      </w:rPr>
      <w:fldChar w:fldCharType="separate"/>
    </w:r>
    <w:r w:rsidR="00966194">
      <w:rPr>
        <w:noProof/>
        <w:color w:val="0D0D0D"/>
        <w:sz w:val="24"/>
        <w:szCs w:val="24"/>
      </w:rPr>
      <w:t>2</w:t>
    </w:r>
    <w:r>
      <w:rPr>
        <w:color w:val="0D0D0D"/>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142B" w:rsidRDefault="00D2142B">
      <w:r>
        <w:separator/>
      </w:r>
    </w:p>
  </w:footnote>
  <w:footnote w:type="continuationSeparator" w:id="0">
    <w:p w:rsidR="00D2142B" w:rsidRDefault="00D214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1BCF" w:rsidRDefault="00D2142B">
    <w:pPr>
      <w:pBdr>
        <w:top w:val="nil"/>
        <w:left w:val="nil"/>
        <w:bottom w:val="nil"/>
        <w:right w:val="nil"/>
        <w:between w:val="nil"/>
      </w:pBdr>
      <w:tabs>
        <w:tab w:val="center" w:pos="4513"/>
        <w:tab w:val="right" w:pos="9026"/>
      </w:tabs>
      <w:rPr>
        <w:color w:val="0D0D0D"/>
        <w:sz w:val="24"/>
        <w:szCs w:val="24"/>
      </w:rPr>
    </w:pPr>
    <w:r>
      <w:rPr>
        <w:noProof/>
      </w:rPr>
      <w:drawing>
        <wp:anchor distT="0" distB="0" distL="0" distR="0" simplePos="0" relativeHeight="251658240" behindDoc="1" locked="0" layoutInCell="1" hidden="0" allowOverlap="1">
          <wp:simplePos x="0" y="0"/>
          <wp:positionH relativeFrom="column">
            <wp:posOffset>-609599</wp:posOffset>
          </wp:positionH>
          <wp:positionV relativeFrom="paragraph">
            <wp:posOffset>0</wp:posOffset>
          </wp:positionV>
          <wp:extent cx="611505" cy="6286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1505" cy="6286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840210"/>
    <w:multiLevelType w:val="multilevel"/>
    <w:tmpl w:val="B016BF5C"/>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5"/>
      <w:lvlJc w:val="left"/>
      <w:pPr>
        <w:ind w:left="1008" w:hanging="1008"/>
      </w:pPr>
    </w:lvl>
    <w:lvl w:ilvl="5">
      <w:start w:val="1"/>
      <w:numFmt w:val="decimal"/>
      <w:lvlText w:val="%5.%6"/>
      <w:lvlJc w:val="left"/>
      <w:pPr>
        <w:ind w:left="1152" w:hanging="1152"/>
      </w:pPr>
    </w:lvl>
    <w:lvl w:ilvl="6">
      <w:start w:val="1"/>
      <w:numFmt w:val="decimal"/>
      <w:lvlText w:val="%5.%6.%7"/>
      <w:lvlJc w:val="left"/>
      <w:pPr>
        <w:ind w:left="1296" w:hanging="1296"/>
      </w:pPr>
    </w:lvl>
    <w:lvl w:ilvl="7">
      <w:start w:val="1"/>
      <w:numFmt w:val="decimal"/>
      <w:lvlText w:val="%5.%6.%7.%8"/>
      <w:lvlJc w:val="left"/>
      <w:pPr>
        <w:ind w:left="1440" w:hanging="1440"/>
      </w:pPr>
    </w:lvl>
    <w:lvl w:ilvl="8">
      <w:start w:val="1"/>
      <w:numFmt w:val="decimal"/>
      <w:lvlText w:val="%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BCF"/>
    <w:rsid w:val="001F21CE"/>
    <w:rsid w:val="003B13F9"/>
    <w:rsid w:val="00433BAF"/>
    <w:rsid w:val="00663132"/>
    <w:rsid w:val="007D753B"/>
    <w:rsid w:val="00966194"/>
    <w:rsid w:val="00B01BCF"/>
    <w:rsid w:val="00D21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5F867"/>
  <w15:docId w15:val="{98EB9524-7460-4EF8-B9EA-629CB78D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pageBreakBefore/>
      <w:pBdr>
        <w:top w:val="nil"/>
        <w:left w:val="nil"/>
        <w:bottom w:val="nil"/>
        <w:right w:val="nil"/>
        <w:between w:val="nil"/>
      </w:pBdr>
      <w:spacing w:after="240"/>
      <w:outlineLvl w:val="0"/>
    </w:pPr>
    <w:rPr>
      <w:b/>
      <w:color w:val="104F75"/>
      <w:sz w:val="36"/>
      <w:szCs w:val="36"/>
    </w:rPr>
  </w:style>
  <w:style w:type="paragraph" w:styleId="Heading2">
    <w:name w:val="heading 2"/>
    <w:basedOn w:val="Normal"/>
    <w:next w:val="Normal"/>
    <w:uiPriority w:val="9"/>
    <w:unhideWhenUsed/>
    <w:qFormat/>
    <w:pPr>
      <w:keepNext/>
      <w:pBdr>
        <w:top w:val="nil"/>
        <w:left w:val="nil"/>
        <w:bottom w:val="nil"/>
        <w:right w:val="nil"/>
        <w:between w:val="nil"/>
      </w:pBdr>
      <w:spacing w:before="480"/>
      <w:outlineLvl w:val="1"/>
    </w:pPr>
    <w:rPr>
      <w:b/>
      <w:color w:val="104F75"/>
      <w:sz w:val="32"/>
      <w:szCs w:val="32"/>
    </w:rPr>
  </w:style>
  <w:style w:type="paragraph" w:styleId="Heading3">
    <w:name w:val="heading 3"/>
    <w:basedOn w:val="Normal"/>
    <w:next w:val="Normal"/>
    <w:uiPriority w:val="9"/>
    <w:unhideWhenUsed/>
    <w:qFormat/>
    <w:pPr>
      <w:keepNext/>
      <w:pBdr>
        <w:top w:val="nil"/>
        <w:left w:val="nil"/>
        <w:bottom w:val="nil"/>
        <w:right w:val="nil"/>
        <w:between w:val="nil"/>
      </w:pBdr>
      <w:spacing w:before="360"/>
      <w:outlineLvl w:val="2"/>
    </w:pPr>
    <w:rPr>
      <w:b/>
      <w:color w:val="104F75"/>
      <w:sz w:val="28"/>
      <w:szCs w:val="28"/>
    </w:rPr>
  </w:style>
  <w:style w:type="paragraph" w:styleId="Heading4">
    <w:name w:val="heading 4"/>
    <w:basedOn w:val="Normal"/>
    <w:next w:val="Normal"/>
    <w:uiPriority w:val="9"/>
    <w:semiHidden/>
    <w:unhideWhenUsed/>
    <w:qFormat/>
    <w:pPr>
      <w:keepNext/>
      <w:pBdr>
        <w:top w:val="nil"/>
        <w:left w:val="nil"/>
        <w:bottom w:val="nil"/>
        <w:right w:val="nil"/>
        <w:between w:val="nil"/>
      </w:pBdr>
      <w:spacing w:before="240"/>
      <w:outlineLvl w:val="3"/>
    </w:pPr>
    <w:rPr>
      <w:b/>
      <w:color w:val="104F75"/>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40" w:after="60" w:line="288" w:lineRule="auto"/>
      <w:ind w:left="1008" w:hanging="1008"/>
      <w:outlineLvl w:val="4"/>
    </w:pPr>
    <w:rPr>
      <w:rFonts w:ascii="Calibri" w:eastAsia="Calibri" w:hAnsi="Calibri" w:cs="Calibri"/>
      <w:b/>
      <w:i/>
      <w:color w:val="0D0D0D"/>
      <w:sz w:val="26"/>
      <w:szCs w:val="26"/>
    </w:rPr>
  </w:style>
  <w:style w:type="paragraph" w:styleId="Heading6">
    <w:name w:val="heading 6"/>
    <w:basedOn w:val="Normal"/>
    <w:next w:val="Normal"/>
    <w:uiPriority w:val="9"/>
    <w:semiHidden/>
    <w:unhideWhenUsed/>
    <w:qFormat/>
    <w:pPr>
      <w:pBdr>
        <w:top w:val="nil"/>
        <w:left w:val="nil"/>
        <w:bottom w:val="nil"/>
        <w:right w:val="nil"/>
        <w:between w:val="nil"/>
      </w:pBdr>
      <w:spacing w:before="240" w:after="60" w:line="288" w:lineRule="auto"/>
      <w:ind w:left="1152" w:hanging="1152"/>
      <w:outlineLvl w:val="5"/>
    </w:pPr>
    <w:rPr>
      <w:rFonts w:ascii="Calibri" w:eastAsia="Calibri" w:hAnsi="Calibri" w:cs="Calibri"/>
      <w:b/>
      <w:color w:val="0D0D0D"/>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spacing w:before="240"/>
    </w:pPr>
    <w:rPr>
      <w:b/>
      <w:color w:val="104F75"/>
      <w:sz w:val="96"/>
      <w:szCs w:val="9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3" w:type="dxa"/>
      </w:tblCellMar>
    </w:tblPr>
  </w:style>
  <w:style w:type="table" w:customStyle="1" w:styleId="a0">
    <w:basedOn w:val="TableNormal"/>
    <w:tblPr>
      <w:tblStyleRowBandSize w:val="1"/>
      <w:tblStyleColBandSize w:val="1"/>
      <w:tblCellMar>
        <w:left w:w="103" w:type="dxa"/>
      </w:tblCellMar>
    </w:tblPr>
  </w:style>
  <w:style w:type="table" w:customStyle="1" w:styleId="a1">
    <w:basedOn w:val="TableNormal"/>
    <w:tblPr>
      <w:tblStyleRowBandSize w:val="1"/>
      <w:tblStyleColBandSize w:val="1"/>
      <w:tblCellMar>
        <w:left w:w="103" w:type="dxa"/>
      </w:tblCellMar>
    </w:tblPr>
  </w:style>
  <w:style w:type="table" w:customStyle="1" w:styleId="a2">
    <w:basedOn w:val="TableNormal"/>
    <w:tblPr>
      <w:tblStyleRowBandSize w:val="1"/>
      <w:tblStyleColBandSize w:val="1"/>
      <w:tblCellMar>
        <w:left w:w="103" w:type="dxa"/>
      </w:tblCellMar>
    </w:tblPr>
  </w:style>
  <w:style w:type="table" w:customStyle="1" w:styleId="a3">
    <w:basedOn w:val="TableNormal"/>
    <w:tblPr>
      <w:tblStyleRowBandSize w:val="1"/>
      <w:tblStyleColBandSize w:val="1"/>
      <w:tblCellMar>
        <w:left w:w="103" w:type="dxa"/>
      </w:tblCellMar>
    </w:tblPr>
  </w:style>
  <w:style w:type="table" w:customStyle="1" w:styleId="a4">
    <w:basedOn w:val="TableNormal"/>
    <w:tblPr>
      <w:tblStyleRowBandSize w:val="1"/>
      <w:tblStyleColBandSize w:val="1"/>
      <w:tblCellMar>
        <w:left w:w="103" w:type="dxa"/>
      </w:tblCellMar>
    </w:tblPr>
  </w:style>
  <w:style w:type="table" w:customStyle="1" w:styleId="a5">
    <w:basedOn w:val="TableNormal"/>
    <w:tblPr>
      <w:tblStyleRowBandSize w:val="1"/>
      <w:tblStyleColBandSize w:val="1"/>
      <w:tblCellMar>
        <w:left w:w="103" w:type="dxa"/>
      </w:tblCellMar>
    </w:tblPr>
  </w:style>
  <w:style w:type="table" w:customStyle="1" w:styleId="a6">
    <w:basedOn w:val="TableNormal"/>
    <w:tblPr>
      <w:tblStyleRowBandSize w:val="1"/>
      <w:tblStyleColBandSize w:val="1"/>
      <w:tblCellMar>
        <w:left w:w="103" w:type="dxa"/>
      </w:tblCellMar>
    </w:tblPr>
  </w:style>
  <w:style w:type="table" w:customStyle="1" w:styleId="a7">
    <w:basedOn w:val="TableNormal"/>
    <w:tblPr>
      <w:tblStyleRowBandSize w:val="1"/>
      <w:tblStyleColBandSize w:val="1"/>
      <w:tblCellMar>
        <w:left w:w="103" w:type="dxa"/>
      </w:tblCellMar>
    </w:tblPr>
  </w:style>
  <w:style w:type="table" w:customStyle="1" w:styleId="a8">
    <w:basedOn w:val="TableNormal"/>
    <w:tblPr>
      <w:tblStyleRowBandSize w:val="1"/>
      <w:tblStyleColBandSize w:val="1"/>
      <w:tblCellMar>
        <w:left w:w="103" w:type="dxa"/>
      </w:tblCellMar>
    </w:tblPr>
  </w:style>
  <w:style w:type="table" w:customStyle="1" w:styleId="a9">
    <w:basedOn w:val="TableNormal"/>
    <w:tblPr>
      <w:tblStyleRowBandSize w:val="1"/>
      <w:tblStyleColBandSize w:val="1"/>
      <w:tblCellMar>
        <w:left w:w="103" w:type="dxa"/>
      </w:tblCellMar>
    </w:tblPr>
  </w:style>
  <w:style w:type="table" w:customStyle="1" w:styleId="aa">
    <w:basedOn w:val="TableNormal"/>
    <w:tblPr>
      <w:tblStyleRowBandSize w:val="1"/>
      <w:tblStyleColBandSize w:val="1"/>
      <w:tblCellMar>
        <w:left w:w="103"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8</Pages>
  <Words>1515</Words>
  <Characters>8639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Abbs</dc:creator>
  <cp:lastModifiedBy>Craig Abbs</cp:lastModifiedBy>
  <cp:revision>5</cp:revision>
  <dcterms:created xsi:type="dcterms:W3CDTF">2026-01-23T12:44:00Z</dcterms:created>
  <dcterms:modified xsi:type="dcterms:W3CDTF">2026-01-23T13:11:00Z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Function">
    <vt:lpwstr>IWPFunction</vt:lpwstr>
  </property>
  <property fmtid="{D5CDD505-2E9C-101B-9397-08002B2CF9AE}" pid="5" name="IWPGroupOOB">
    <vt:lpwstr>Communications Directorate</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RightsProtectiveMarking">
    <vt:lpwstr>2;#Official|0884c477-2e62-47ea-b19c-5af6e91124c5</vt:lpwstr>
  </property>
  <property fmtid="{D5CDD505-2E9C-101B-9397-08002B2CF9AE}" pid="9" name="IWPSiteType">
    <vt:lpwstr>IWPSiteType</vt:lpwstr>
  </property>
  <property fmtid="{D5CDD505-2E9C-101B-9397-08002B2CF9AE}" pid="10" name="IWPSubject">
    <vt:lpwstr>IWPSubject</vt:lpwstr>
  </property>
  <property fmtid="{D5CDD505-2E9C-101B-9397-08002B2CF9AE}" pid="11" name="_dlc_DocIdItemGuid">
    <vt:lpwstr>f1dd1af3-30bb-446e-af34-5327635f4b16</vt:lpwstr>
  </property>
</Properties>
</file>